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DC6E" w14:textId="4745107F" w:rsidR="00E73DC1" w:rsidRDefault="00C504B7" w:rsidP="00E73DC1">
      <w:pPr>
        <w:keepNext/>
        <w:keepLines/>
        <w:spacing w:before="40"/>
        <w:jc w:val="center"/>
        <w:outlineLvl w:val="1"/>
        <w:rPr>
          <w:rFonts w:eastAsiaTheme="majorEastAsia" w:cs="Times New Roman"/>
          <w:b/>
          <w:szCs w:val="24"/>
        </w:rPr>
      </w:pPr>
      <w:r w:rsidRPr="00C504B7">
        <w:rPr>
          <w:rFonts w:cs="Times New Roman"/>
          <w:b/>
          <w:szCs w:val="24"/>
        </w:rPr>
        <w:t>VENCIMENTO SALARIAL DO</w:t>
      </w:r>
      <w:r>
        <w:rPr>
          <w:rFonts w:cs="Times New Roman"/>
          <w:b/>
          <w:szCs w:val="24"/>
        </w:rPr>
        <w:t>S</w:t>
      </w:r>
      <w:r w:rsidRPr="00C504B7">
        <w:rPr>
          <w:rFonts w:cs="Times New Roman"/>
          <w:b/>
          <w:szCs w:val="24"/>
        </w:rPr>
        <w:t xml:space="preserve"> PROFESSOR</w:t>
      </w:r>
      <w:r>
        <w:rPr>
          <w:rFonts w:cs="Times New Roman"/>
          <w:b/>
          <w:szCs w:val="24"/>
        </w:rPr>
        <w:t>ES</w:t>
      </w:r>
      <w:r w:rsidRPr="00C504B7">
        <w:rPr>
          <w:rFonts w:cs="Times New Roman"/>
          <w:b/>
          <w:szCs w:val="24"/>
        </w:rPr>
        <w:t xml:space="preserve"> D</w:t>
      </w:r>
      <w:r w:rsidR="00E7165A" w:rsidRPr="00C504B7">
        <w:rPr>
          <w:rFonts w:eastAsiaTheme="majorEastAsia" w:cs="Times New Roman"/>
          <w:b/>
          <w:szCs w:val="24"/>
        </w:rPr>
        <w:t>A REDE PÚBLICA ESTADUAL DE ENSINO DO PIAUÍ</w:t>
      </w:r>
    </w:p>
    <w:p w14:paraId="5B9D0D10" w14:textId="77777777" w:rsidR="00C504B7" w:rsidRPr="00C504B7" w:rsidRDefault="00C504B7" w:rsidP="00E73DC1">
      <w:pPr>
        <w:keepNext/>
        <w:keepLines/>
        <w:spacing w:before="40"/>
        <w:jc w:val="center"/>
        <w:outlineLvl w:val="1"/>
        <w:rPr>
          <w:rFonts w:eastAsiaTheme="majorEastAsia" w:cs="Times New Roman"/>
          <w:b/>
          <w:szCs w:val="24"/>
        </w:rPr>
      </w:pPr>
      <w:bookmarkStart w:id="0" w:name="_GoBack"/>
      <w:bookmarkEnd w:id="0"/>
    </w:p>
    <w:p w14:paraId="43071F09" w14:textId="77777777" w:rsidR="00653F76" w:rsidRPr="00653F76" w:rsidRDefault="00653F76" w:rsidP="00653F76">
      <w:pPr>
        <w:jc w:val="right"/>
        <w:rPr>
          <w:rFonts w:eastAsia="Times New Roman" w:cs="Times New Roman"/>
          <w:szCs w:val="24"/>
          <w:lang w:eastAsia="pt-BR"/>
        </w:rPr>
      </w:pPr>
      <w:r w:rsidRPr="00653F76">
        <w:rPr>
          <w:rFonts w:eastAsia="Times New Roman" w:cs="Times New Roman"/>
          <w:szCs w:val="24"/>
          <w:lang w:eastAsia="pt-BR"/>
        </w:rPr>
        <w:t xml:space="preserve">Isabel Cristina da Silva </w:t>
      </w:r>
      <w:proofErr w:type="spellStart"/>
      <w:r w:rsidRPr="00653F76">
        <w:rPr>
          <w:rFonts w:eastAsia="Times New Roman" w:cs="Times New Roman"/>
          <w:szCs w:val="24"/>
          <w:lang w:eastAsia="pt-BR"/>
        </w:rPr>
        <w:t>Fontineles</w:t>
      </w:r>
      <w:proofErr w:type="spellEnd"/>
      <w:r w:rsidR="0025425C">
        <w:rPr>
          <w:rStyle w:val="Refdenotaderodap"/>
          <w:rFonts w:eastAsia="Times New Roman" w:cs="Times New Roman"/>
          <w:szCs w:val="24"/>
          <w:lang w:eastAsia="pt-BR"/>
        </w:rPr>
        <w:footnoteReference w:id="1"/>
      </w:r>
    </w:p>
    <w:p w14:paraId="033E6328" w14:textId="77777777" w:rsidR="00653F76" w:rsidRPr="00653F76" w:rsidRDefault="003234FE" w:rsidP="00653F76">
      <w:pPr>
        <w:jc w:val="right"/>
        <w:rPr>
          <w:rFonts w:eastAsia="Times New Roman" w:cs="Times New Roman"/>
          <w:szCs w:val="24"/>
          <w:lang w:eastAsia="pt-BR"/>
        </w:rPr>
      </w:pPr>
      <w:r>
        <w:rPr>
          <w:rFonts w:eastAsia="Times New Roman" w:cs="Times New Roman"/>
          <w:szCs w:val="24"/>
          <w:lang w:eastAsia="pt-BR"/>
        </w:rPr>
        <w:t>UESPI</w:t>
      </w:r>
    </w:p>
    <w:p w14:paraId="0B6EA291" w14:textId="77777777" w:rsidR="00653F76" w:rsidRPr="00653F76" w:rsidRDefault="00653F76" w:rsidP="00653F76">
      <w:pPr>
        <w:jc w:val="right"/>
        <w:rPr>
          <w:rFonts w:eastAsia="Times New Roman" w:cs="Times New Roman"/>
          <w:szCs w:val="24"/>
          <w:lang w:eastAsia="pt-BR"/>
        </w:rPr>
      </w:pPr>
      <w:r w:rsidRPr="00653F76">
        <w:rPr>
          <w:rFonts w:eastAsia="Times New Roman" w:cs="Times New Roman"/>
          <w:szCs w:val="24"/>
          <w:lang w:eastAsia="pt-BR"/>
        </w:rPr>
        <w:t>ic.fontineles@hotmail.com</w:t>
      </w:r>
    </w:p>
    <w:p w14:paraId="2E5F4E86" w14:textId="77777777" w:rsidR="00653F76" w:rsidRPr="00653F76" w:rsidRDefault="00653F76" w:rsidP="00653F76">
      <w:pPr>
        <w:jc w:val="right"/>
        <w:rPr>
          <w:rFonts w:eastAsia="Times New Roman" w:cs="Times New Roman"/>
          <w:szCs w:val="24"/>
          <w:lang w:eastAsia="pt-BR"/>
        </w:rPr>
      </w:pPr>
      <w:r w:rsidRPr="00653F76">
        <w:rPr>
          <w:rFonts w:eastAsia="Times New Roman" w:cs="Times New Roman"/>
          <w:szCs w:val="24"/>
          <w:lang w:eastAsia="pt-BR"/>
        </w:rPr>
        <w:t>Luís Carlos Sales</w:t>
      </w:r>
      <w:r w:rsidR="0025425C">
        <w:rPr>
          <w:rStyle w:val="Refdenotaderodap"/>
          <w:rFonts w:eastAsia="Times New Roman" w:cs="Times New Roman"/>
          <w:szCs w:val="24"/>
          <w:lang w:eastAsia="pt-BR"/>
        </w:rPr>
        <w:footnoteReference w:id="2"/>
      </w:r>
    </w:p>
    <w:p w14:paraId="19543DD8" w14:textId="77777777" w:rsidR="00653F76" w:rsidRPr="00653F76" w:rsidRDefault="00653F76" w:rsidP="00653F76">
      <w:pPr>
        <w:jc w:val="right"/>
        <w:rPr>
          <w:rFonts w:eastAsia="Times New Roman" w:cs="Times New Roman"/>
          <w:szCs w:val="24"/>
          <w:lang w:eastAsia="pt-BR"/>
        </w:rPr>
      </w:pPr>
      <w:r w:rsidRPr="00653F76">
        <w:rPr>
          <w:rFonts w:eastAsia="Times New Roman" w:cs="Times New Roman"/>
          <w:szCs w:val="24"/>
          <w:lang w:eastAsia="pt-BR"/>
        </w:rPr>
        <w:t xml:space="preserve">UFPI </w:t>
      </w:r>
    </w:p>
    <w:p w14:paraId="4FD54386" w14:textId="77777777" w:rsidR="00653F76" w:rsidRPr="00653F76" w:rsidRDefault="00653F76" w:rsidP="00653F76">
      <w:pPr>
        <w:jc w:val="right"/>
        <w:rPr>
          <w:rFonts w:eastAsia="Times New Roman" w:cs="Times New Roman"/>
          <w:szCs w:val="24"/>
          <w:lang w:eastAsia="pt-BR"/>
        </w:rPr>
      </w:pPr>
      <w:r w:rsidRPr="00653F76">
        <w:rPr>
          <w:rFonts w:eastAsia="Times New Roman" w:cs="Times New Roman"/>
          <w:sz w:val="20"/>
          <w:szCs w:val="20"/>
        </w:rPr>
        <w:t xml:space="preserve"> lwis2006@gmail.com</w:t>
      </w:r>
    </w:p>
    <w:p w14:paraId="438C48C7" w14:textId="77777777" w:rsidR="001270EE" w:rsidRDefault="001270EE" w:rsidP="009E1CD1">
      <w:pPr>
        <w:jc w:val="left"/>
        <w:rPr>
          <w:rFonts w:eastAsia="Times New Roman" w:cs="Times New Roman"/>
          <w:b/>
          <w:szCs w:val="24"/>
        </w:rPr>
      </w:pPr>
      <w:bookmarkStart w:id="1" w:name="_Toc469653019"/>
    </w:p>
    <w:p w14:paraId="77D0DB66" w14:textId="77777777" w:rsidR="001270EE" w:rsidRDefault="001270EE" w:rsidP="009E1CD1">
      <w:pPr>
        <w:jc w:val="left"/>
        <w:rPr>
          <w:rFonts w:eastAsia="Times New Roman" w:cs="Times New Roman"/>
          <w:b/>
          <w:szCs w:val="24"/>
        </w:rPr>
      </w:pPr>
    </w:p>
    <w:p w14:paraId="227DC17B" w14:textId="77777777" w:rsidR="009E1CD1" w:rsidRDefault="009E1CD1" w:rsidP="009E1CD1">
      <w:pPr>
        <w:jc w:val="left"/>
        <w:rPr>
          <w:rFonts w:eastAsia="Times New Roman" w:cs="Times New Roman"/>
          <w:b/>
          <w:szCs w:val="24"/>
        </w:rPr>
      </w:pPr>
      <w:r w:rsidRPr="009E1CD1">
        <w:rPr>
          <w:rFonts w:eastAsia="Times New Roman" w:cs="Times New Roman"/>
          <w:b/>
          <w:szCs w:val="24"/>
        </w:rPr>
        <w:t>INTRODUÇÃO</w:t>
      </w:r>
    </w:p>
    <w:p w14:paraId="4D74550A" w14:textId="77777777" w:rsidR="001270EE" w:rsidRPr="009E1CD1" w:rsidRDefault="001270EE" w:rsidP="009E1CD1">
      <w:pPr>
        <w:jc w:val="left"/>
        <w:rPr>
          <w:rFonts w:eastAsia="Times New Roman" w:cs="Times New Roman"/>
          <w:b/>
          <w:szCs w:val="24"/>
        </w:rPr>
      </w:pPr>
    </w:p>
    <w:p w14:paraId="02EF33CF" w14:textId="77777777" w:rsidR="001270EE" w:rsidRPr="001270EE" w:rsidRDefault="001270EE" w:rsidP="001270EE">
      <w:pPr>
        <w:jc w:val="left"/>
        <w:rPr>
          <w:rFonts w:eastAsia="Times New Roman" w:cs="Times New Roman"/>
          <w:b/>
          <w:szCs w:val="24"/>
        </w:rPr>
      </w:pPr>
    </w:p>
    <w:p w14:paraId="2DA33124" w14:textId="77777777" w:rsidR="001270EE" w:rsidRPr="001270EE" w:rsidRDefault="001270EE" w:rsidP="001270EE">
      <w:pPr>
        <w:spacing w:before="480" w:after="480" w:line="360" w:lineRule="auto"/>
        <w:ind w:firstLine="851"/>
        <w:contextualSpacing/>
        <w:rPr>
          <w:rFonts w:cs="Times New Roman"/>
          <w:szCs w:val="24"/>
        </w:rPr>
      </w:pPr>
      <w:r w:rsidRPr="001270EE">
        <w:rPr>
          <w:szCs w:val="24"/>
        </w:rPr>
        <w:t xml:space="preserve"> </w:t>
      </w:r>
      <w:r w:rsidRPr="001270EE">
        <w:rPr>
          <w:rFonts w:cs="Times New Roman"/>
        </w:rPr>
        <w:t>Este artigo analisa o vencimento salarial</w:t>
      </w:r>
      <w:r w:rsidRPr="001270EE">
        <w:rPr>
          <w:rFonts w:cs="Times New Roman"/>
          <w:color w:val="FF0000"/>
        </w:rPr>
        <w:t xml:space="preserve"> </w:t>
      </w:r>
      <w:r w:rsidRPr="001270EE">
        <w:rPr>
          <w:rFonts w:cs="Times New Roman"/>
        </w:rPr>
        <w:t xml:space="preserve">e sua relação com a formação do professor da Rede Pública Estadual de Ensino do Piauí, considerando o período de 1996 a 2016. Para tanto, foram utilizadas as tabelas de vencimento e a folha de pagamento dos professores, procurando dialogar com os </w:t>
      </w:r>
      <w:r w:rsidRPr="001270EE">
        <w:rPr>
          <w:rFonts w:cs="Times New Roman"/>
          <w:szCs w:val="24"/>
        </w:rPr>
        <w:t>instrumentos legais editados no período.</w:t>
      </w:r>
    </w:p>
    <w:p w14:paraId="68A0FA9C" w14:textId="77777777" w:rsidR="001270EE" w:rsidRPr="001270EE" w:rsidRDefault="001270EE" w:rsidP="001270EE">
      <w:pPr>
        <w:spacing w:before="480" w:after="480" w:line="360" w:lineRule="auto"/>
        <w:ind w:firstLine="851"/>
        <w:contextualSpacing/>
        <w:rPr>
          <w:rFonts w:cs="Times New Roman"/>
          <w:szCs w:val="24"/>
        </w:rPr>
      </w:pPr>
      <w:r w:rsidRPr="001270EE">
        <w:rPr>
          <w:rFonts w:cs="Times New Roman"/>
          <w:szCs w:val="24"/>
        </w:rPr>
        <w:t xml:space="preserve">Para facilitar a análise, dividiu-se a série histórica em períodos que marcam a </w:t>
      </w:r>
      <w:proofErr w:type="gramStart"/>
      <w:r w:rsidRPr="001270EE">
        <w:rPr>
          <w:rFonts w:cs="Times New Roman"/>
          <w:szCs w:val="24"/>
        </w:rPr>
        <w:t>evolução</w:t>
      </w:r>
      <w:proofErr w:type="gramEnd"/>
      <w:r w:rsidRPr="001270EE">
        <w:rPr>
          <w:rFonts w:cs="Times New Roman"/>
          <w:szCs w:val="24"/>
        </w:rPr>
        <w:t xml:space="preserve"> dos vencimentos salariais dos professores da referida Rede, dialogando com o contexto político e a legislação mais relevante de cada período. </w:t>
      </w:r>
    </w:p>
    <w:p w14:paraId="02BB1CED" w14:textId="77777777" w:rsidR="001270EE" w:rsidRPr="001270EE" w:rsidRDefault="001270EE" w:rsidP="001270EE">
      <w:pPr>
        <w:spacing w:line="360" w:lineRule="auto"/>
        <w:ind w:firstLine="851"/>
        <w:contextualSpacing/>
        <w:rPr>
          <w:rFonts w:cs="Times New Roman"/>
          <w:szCs w:val="24"/>
        </w:rPr>
      </w:pPr>
      <w:r w:rsidRPr="001270EE">
        <w:rPr>
          <w:rFonts w:cs="Times New Roman"/>
          <w:szCs w:val="24"/>
        </w:rPr>
        <w:t xml:space="preserve">A partir de um determinado ano da série histórica analisada, um fato relevante marcou o período: a aprovação da Lei do Piso. A referida lei trouxe, para o professor, expectativas positivas em relação a melhoria do seu vencimento salarial. </w:t>
      </w:r>
    </w:p>
    <w:p w14:paraId="5F5152F0" w14:textId="77777777" w:rsidR="001270EE" w:rsidRPr="001270EE" w:rsidRDefault="001270EE" w:rsidP="001270EE">
      <w:pPr>
        <w:spacing w:line="360" w:lineRule="auto"/>
        <w:ind w:firstLine="851"/>
        <w:contextualSpacing/>
        <w:rPr>
          <w:rFonts w:cs="Times New Roman"/>
          <w:szCs w:val="24"/>
        </w:rPr>
      </w:pPr>
      <w:r w:rsidRPr="001270EE">
        <w:rPr>
          <w:rFonts w:cs="Times New Roman"/>
          <w:szCs w:val="24"/>
        </w:rPr>
        <w:t xml:space="preserve">Considerando que a Lei do Piso toma como referência o professor, em início da carreira, portador de formação equivalente ao Ensino Médio, era de se esperar que uma das estratégias apresentadas pelos gestores seria garantir reajustes apenas para o professor no início da carreira (nível médio) e conceder reajustes menores aos demais professores com titulações mais elevadas, provocando inevitável achatamento salarial em curto espaço de tempo. Segundo </w:t>
      </w:r>
      <w:proofErr w:type="spellStart"/>
      <w:r w:rsidRPr="001270EE">
        <w:rPr>
          <w:rFonts w:cs="Times New Roman"/>
          <w:szCs w:val="24"/>
        </w:rPr>
        <w:t>Amilka</w:t>
      </w:r>
      <w:proofErr w:type="spellEnd"/>
      <w:r w:rsidRPr="001270EE">
        <w:rPr>
          <w:rFonts w:cs="Times New Roman"/>
          <w:szCs w:val="24"/>
        </w:rPr>
        <w:t xml:space="preserve"> Melo (2016), muitas redes de ensino (estaduais e municipais) revelam dificuldades em relação à aplicação dessa legislação, alegando recursos escassos para cumprimento da lei.</w:t>
      </w:r>
    </w:p>
    <w:p w14:paraId="4DE7ACC9" w14:textId="77777777" w:rsidR="001270EE" w:rsidRPr="001270EE" w:rsidRDefault="001270EE" w:rsidP="001270EE">
      <w:pPr>
        <w:spacing w:before="480" w:after="480" w:line="360" w:lineRule="auto"/>
        <w:ind w:firstLine="851"/>
        <w:contextualSpacing/>
        <w:rPr>
          <w:rFonts w:cs="Times New Roman"/>
          <w:szCs w:val="24"/>
        </w:rPr>
      </w:pPr>
      <w:r w:rsidRPr="001270EE">
        <w:rPr>
          <w:rFonts w:cs="Times New Roman"/>
          <w:szCs w:val="24"/>
        </w:rPr>
        <w:t xml:space="preserve">Por parte dos professores, a grande preocupação, após a entrada em vigor da Lei do Piso, foi com a possibilidade de o "piso virar teto", ou seja, com o tempo, todos os </w:t>
      </w:r>
      <w:r w:rsidRPr="001270EE">
        <w:rPr>
          <w:rFonts w:cs="Times New Roman"/>
          <w:szCs w:val="24"/>
        </w:rPr>
        <w:lastRenderedPageBreak/>
        <w:t>professores passarem a receber remuneração muito próxima, configurando, portanto, achatamento salarial, prática bastante condenável que prejudica a carreira docente e que torna a profissão pouco atrativa, trazendo impacto negativo em relação ao nível do aluno que busca as licenciaturas e, consequentemente, a qualidade da formação do futuro professor.</w:t>
      </w:r>
    </w:p>
    <w:p w14:paraId="4BDC8591" w14:textId="77777777" w:rsidR="00057551" w:rsidRPr="00057551" w:rsidRDefault="001270EE" w:rsidP="00057551">
      <w:pPr>
        <w:spacing w:before="480" w:after="480" w:line="360" w:lineRule="auto"/>
        <w:ind w:firstLine="851"/>
        <w:contextualSpacing/>
        <w:rPr>
          <w:rFonts w:cs="Times New Roman"/>
          <w:szCs w:val="24"/>
        </w:rPr>
      </w:pPr>
      <w:r w:rsidRPr="001270EE">
        <w:rPr>
          <w:rFonts w:cs="Times New Roman"/>
          <w:szCs w:val="24"/>
        </w:rPr>
        <w:t xml:space="preserve">Considerando que o achatamento salarial afeta negativamente o vencimento e a sua relação com a formação, uma vez que deixa de ser vantajoso para o professor buscar sua qualificação, tendo em vista que um professor 40h, com doutorado, poderá receber remuneração muito próxima do que recebe um professor 40h com magistério (curso normal - nível médio), necessário se faz a realização de estudos que analisem o comportamento do vencimento salarial dos professores, em uma determinada série histórica, buscando observar como se comportou o vencimento salarial e sua relação com a formação do professor. </w:t>
      </w:r>
    </w:p>
    <w:p w14:paraId="65FCF0C1" w14:textId="77777777" w:rsidR="00057551" w:rsidRPr="00057551" w:rsidRDefault="00057551" w:rsidP="00057551">
      <w:pPr>
        <w:spacing w:line="360" w:lineRule="auto"/>
        <w:ind w:firstLine="708"/>
        <w:rPr>
          <w:rFonts w:eastAsia="Times New Roman" w:cs="Times New Roman"/>
          <w:szCs w:val="24"/>
        </w:rPr>
      </w:pPr>
      <w:r w:rsidRPr="00057551">
        <w:rPr>
          <w:rFonts w:eastAsia="Times New Roman" w:cs="Times New Roman"/>
          <w:szCs w:val="24"/>
        </w:rPr>
        <w:t>A pesquisa realizada fez uso de documentos, da legislação pertinente, de tabelas de vencimento e de folhas de pagamento.  Para sistematizar os dados da folha de pagamento, foi utilizado um software estatístico (SPSS).</w:t>
      </w:r>
    </w:p>
    <w:p w14:paraId="33ACF73A" w14:textId="77777777" w:rsidR="00057551" w:rsidRPr="0041202A" w:rsidRDefault="00057551" w:rsidP="00057551">
      <w:pPr>
        <w:spacing w:line="360" w:lineRule="auto"/>
        <w:ind w:firstLine="708"/>
        <w:rPr>
          <w:rFonts w:eastAsia="Times New Roman" w:cs="Times New Roman"/>
          <w:szCs w:val="24"/>
        </w:rPr>
      </w:pPr>
      <w:r w:rsidRPr="00057551">
        <w:rPr>
          <w:rFonts w:eastAsia="Times New Roman" w:cs="Times New Roman"/>
          <w:szCs w:val="24"/>
        </w:rPr>
        <w:t xml:space="preserve">Vale destacar que os dados tabulados e apresentados funcionam, em certa medida, como formas discursivas que apresentam dizeres para além da linguagem direta. Isso significa que, na intersecção entre as dimensões quantitativas e qualitativas, os números apresentados são outros discursos que dão indícios sobre o objeto de pesquisa. Nesse sentido, os números fazem parte da problematização, </w:t>
      </w:r>
      <w:r w:rsidR="00432985">
        <w:rPr>
          <w:rFonts w:eastAsia="Times New Roman" w:cs="Times New Roman"/>
          <w:szCs w:val="24"/>
        </w:rPr>
        <w:t xml:space="preserve">tendo em vista </w:t>
      </w:r>
      <w:r w:rsidRPr="00057551">
        <w:rPr>
          <w:rFonts w:eastAsia="Times New Roman" w:cs="Times New Roman"/>
          <w:szCs w:val="24"/>
        </w:rPr>
        <w:t xml:space="preserve">que trazem </w:t>
      </w:r>
      <w:r w:rsidRPr="0041202A">
        <w:rPr>
          <w:rFonts w:eastAsia="Times New Roman" w:cs="Times New Roman"/>
          <w:szCs w:val="24"/>
        </w:rPr>
        <w:t xml:space="preserve">informações </w:t>
      </w:r>
      <w:r w:rsidR="00432985" w:rsidRPr="0041202A">
        <w:rPr>
          <w:rFonts w:eastAsia="Times New Roman" w:cs="Times New Roman"/>
          <w:szCs w:val="24"/>
        </w:rPr>
        <w:t xml:space="preserve">para além do que </w:t>
      </w:r>
      <w:r w:rsidRPr="0041202A">
        <w:rPr>
          <w:rFonts w:eastAsia="Times New Roman" w:cs="Times New Roman"/>
          <w:szCs w:val="24"/>
        </w:rPr>
        <w:t xml:space="preserve">leis e decretos </w:t>
      </w:r>
      <w:r w:rsidR="00432985" w:rsidRPr="0041202A">
        <w:rPr>
          <w:rFonts w:eastAsia="Times New Roman" w:cs="Times New Roman"/>
          <w:szCs w:val="24"/>
        </w:rPr>
        <w:t xml:space="preserve">conseguem </w:t>
      </w:r>
      <w:r w:rsidRPr="0041202A">
        <w:rPr>
          <w:rFonts w:eastAsia="Times New Roman" w:cs="Times New Roman"/>
          <w:szCs w:val="24"/>
        </w:rPr>
        <w:t>demonstra</w:t>
      </w:r>
      <w:r w:rsidR="00432985" w:rsidRPr="0041202A">
        <w:rPr>
          <w:rFonts w:eastAsia="Times New Roman" w:cs="Times New Roman"/>
          <w:szCs w:val="24"/>
        </w:rPr>
        <w:t>r</w:t>
      </w:r>
      <w:r w:rsidRPr="0041202A">
        <w:rPr>
          <w:rFonts w:eastAsia="Times New Roman" w:cs="Times New Roman"/>
          <w:szCs w:val="24"/>
        </w:rPr>
        <w:t xml:space="preserve"> diretamente. Os dados assumem o papel do “não-dito”.</w:t>
      </w:r>
    </w:p>
    <w:p w14:paraId="0D95411E" w14:textId="77777777" w:rsidR="00057551" w:rsidRPr="00057551" w:rsidRDefault="00057551" w:rsidP="00057551">
      <w:pPr>
        <w:spacing w:before="480" w:after="480" w:line="360" w:lineRule="auto"/>
        <w:ind w:firstLine="851"/>
        <w:contextualSpacing/>
        <w:rPr>
          <w:rFonts w:cs="Times New Roman"/>
          <w:szCs w:val="24"/>
        </w:rPr>
      </w:pPr>
      <w:r w:rsidRPr="00057551">
        <w:rPr>
          <w:rFonts w:cs="Times New Roman"/>
          <w:szCs w:val="24"/>
        </w:rPr>
        <w:t xml:space="preserve">Ao longo do estudo, dividiu-se a série histórica em três grandes períodos: o primeiro vai de 1996 a 2001; o segundo se estende de 2002 a 2011; enquanto que o terceiro vai de 2012 a 2016. </w:t>
      </w:r>
    </w:p>
    <w:p w14:paraId="31EFD598" w14:textId="77777777" w:rsidR="00057551" w:rsidRPr="00057551" w:rsidRDefault="00057551" w:rsidP="00057551">
      <w:pPr>
        <w:jc w:val="left"/>
        <w:rPr>
          <w:rFonts w:eastAsia="Times New Roman" w:cs="Times New Roman"/>
          <w:szCs w:val="24"/>
        </w:rPr>
      </w:pPr>
    </w:p>
    <w:p w14:paraId="58E1FCD0" w14:textId="77777777" w:rsidR="00057551" w:rsidRDefault="00057551" w:rsidP="00B8445E">
      <w:pPr>
        <w:spacing w:before="480" w:after="480" w:line="360" w:lineRule="auto"/>
        <w:ind w:firstLine="851"/>
        <w:contextualSpacing/>
        <w:rPr>
          <w:rFonts w:cs="Times New Roman"/>
          <w:szCs w:val="24"/>
        </w:rPr>
      </w:pPr>
    </w:p>
    <w:p w14:paraId="70AC942C" w14:textId="77777777" w:rsidR="00057551" w:rsidRDefault="00057551" w:rsidP="00B8445E">
      <w:pPr>
        <w:spacing w:before="480" w:after="480" w:line="360" w:lineRule="auto"/>
        <w:ind w:firstLine="851"/>
        <w:contextualSpacing/>
        <w:rPr>
          <w:rFonts w:cs="Times New Roman"/>
          <w:szCs w:val="24"/>
        </w:rPr>
      </w:pPr>
    </w:p>
    <w:p w14:paraId="27BD494E" w14:textId="77777777" w:rsidR="00057551" w:rsidRDefault="00057551" w:rsidP="00B8445E">
      <w:pPr>
        <w:spacing w:before="480" w:after="480" w:line="360" w:lineRule="auto"/>
        <w:ind w:firstLine="851"/>
        <w:contextualSpacing/>
        <w:rPr>
          <w:rFonts w:cs="Times New Roman"/>
          <w:szCs w:val="24"/>
        </w:rPr>
      </w:pPr>
    </w:p>
    <w:p w14:paraId="23B20FC7" w14:textId="77777777" w:rsidR="00B8445E" w:rsidRPr="00B8445E" w:rsidRDefault="00B8445E" w:rsidP="00B8445E">
      <w:pPr>
        <w:spacing w:before="480" w:after="480" w:line="360" w:lineRule="auto"/>
        <w:ind w:firstLine="851"/>
        <w:contextualSpacing/>
        <w:rPr>
          <w:rFonts w:cs="Times New Roman"/>
          <w:szCs w:val="24"/>
        </w:rPr>
      </w:pPr>
      <w:r w:rsidRPr="004A7D8B">
        <w:rPr>
          <w:rFonts w:cs="Times New Roman"/>
        </w:rPr>
        <w:t>Para melhor compreensão d</w:t>
      </w:r>
      <w:r>
        <w:rPr>
          <w:rFonts w:cs="Times New Roman"/>
        </w:rPr>
        <w:t>esse</w:t>
      </w:r>
      <w:r w:rsidRPr="004A7D8B">
        <w:rPr>
          <w:rFonts w:cs="Times New Roman"/>
        </w:rPr>
        <w:t xml:space="preserve"> contexto histórico, a seguir</w:t>
      </w:r>
      <w:r>
        <w:rPr>
          <w:rFonts w:cs="Times New Roman"/>
        </w:rPr>
        <w:t>, construiu-se</w:t>
      </w:r>
      <w:r w:rsidR="00057551">
        <w:rPr>
          <w:rFonts w:cs="Times New Roman"/>
        </w:rPr>
        <w:t xml:space="preserve"> a linha </w:t>
      </w:r>
      <w:r w:rsidRPr="004A7D8B">
        <w:rPr>
          <w:rFonts w:cs="Times New Roman"/>
        </w:rPr>
        <w:t xml:space="preserve">de tempo </w:t>
      </w:r>
      <w:r>
        <w:rPr>
          <w:rFonts w:cs="Times New Roman"/>
        </w:rPr>
        <w:t xml:space="preserve">que sintetiza </w:t>
      </w:r>
      <w:r w:rsidRPr="004A7D8B">
        <w:rPr>
          <w:rFonts w:cs="Times New Roman"/>
        </w:rPr>
        <w:t>os principais fatos nacion</w:t>
      </w:r>
      <w:r>
        <w:rPr>
          <w:rFonts w:cs="Times New Roman"/>
        </w:rPr>
        <w:t>ais e estaduais, no que concerne à discussão em pauta.</w:t>
      </w:r>
    </w:p>
    <w:p w14:paraId="011401FD" w14:textId="77777777" w:rsidR="001270EE" w:rsidRPr="001270EE" w:rsidRDefault="001270EE" w:rsidP="001270EE">
      <w:pPr>
        <w:spacing w:before="480" w:after="480" w:line="360" w:lineRule="auto"/>
        <w:ind w:firstLine="851"/>
        <w:contextualSpacing/>
        <w:rPr>
          <w:rFonts w:cs="Times New Roman"/>
          <w:szCs w:val="24"/>
        </w:rPr>
      </w:pPr>
    </w:p>
    <w:p w14:paraId="779CFF54" w14:textId="77777777" w:rsidR="00CE71C7" w:rsidRPr="004A7D8B" w:rsidRDefault="00CE71C7" w:rsidP="00CE71C7">
      <w:pPr>
        <w:pStyle w:val="Legenda"/>
      </w:pPr>
      <w:r w:rsidRPr="004A7D8B">
        <w:t xml:space="preserve">Figura </w:t>
      </w:r>
      <w:r w:rsidR="009B6806">
        <w:fldChar w:fldCharType="begin"/>
      </w:r>
      <w:r w:rsidR="009B6806">
        <w:instrText xml:space="preserve"> SEQ Figura \* ARABIC </w:instrText>
      </w:r>
      <w:r w:rsidR="009B6806">
        <w:fldChar w:fldCharType="separate"/>
      </w:r>
      <w:r>
        <w:rPr>
          <w:noProof/>
        </w:rPr>
        <w:t>1</w:t>
      </w:r>
      <w:r w:rsidR="009B6806">
        <w:rPr>
          <w:noProof/>
        </w:rPr>
        <w:fldChar w:fldCharType="end"/>
      </w:r>
      <w:r w:rsidRPr="004A7D8B">
        <w:t xml:space="preserve"> - Linha do Tempo de fatos que influenciaram os valores do vencimento e da remuneração dos professores da Rede Pública Estadual de Ensino no Piauí</w:t>
      </w:r>
      <w:bookmarkEnd w:id="1"/>
    </w:p>
    <w:p w14:paraId="5CFC311A" w14:textId="77777777" w:rsidR="00CE71C7" w:rsidRPr="004A7D8B" w:rsidRDefault="00CE71C7" w:rsidP="00CE71C7">
      <w:pPr>
        <w:spacing w:before="240" w:line="360" w:lineRule="auto"/>
        <w:jc w:val="center"/>
        <w:rPr>
          <w:rFonts w:eastAsia="Calibri" w:cs="Times New Roman"/>
          <w:b/>
          <w:szCs w:val="24"/>
        </w:rPr>
      </w:pPr>
      <w:r>
        <w:rPr>
          <w:noProof/>
          <w:lang w:eastAsia="pt-BR"/>
        </w:rPr>
        <w:drawing>
          <wp:inline distT="0" distB="0" distL="0" distR="0" wp14:anchorId="309317CA" wp14:editId="16046731">
            <wp:extent cx="5759450" cy="5022215"/>
            <wp:effectExtent l="0" t="0" r="0" b="6985"/>
            <wp:docPr id="2" name="Imagem 2" descr="C:\Users\teste\AppData\Local\Microsoft\Windows\INetCacheContent.Word\Linha do Tempo - Piau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e\AppData\Local\Microsoft\Windows\INetCacheContent.Word\Linha do Tempo - Piauí.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5022215"/>
                    </a:xfrm>
                    <a:prstGeom prst="rect">
                      <a:avLst/>
                    </a:prstGeom>
                    <a:noFill/>
                    <a:ln>
                      <a:noFill/>
                    </a:ln>
                  </pic:spPr>
                </pic:pic>
              </a:graphicData>
            </a:graphic>
          </wp:inline>
        </w:drawing>
      </w:r>
    </w:p>
    <w:p w14:paraId="51F493ED" w14:textId="77777777" w:rsidR="00CE71C7" w:rsidRDefault="00CE71C7" w:rsidP="00CE71C7">
      <w:pPr>
        <w:pStyle w:val="Fonte"/>
        <w:rPr>
          <w:rFonts w:cs="Times New Roman"/>
        </w:rPr>
      </w:pPr>
      <w:r w:rsidRPr="004A7D8B">
        <w:rPr>
          <w:rFonts w:cs="Times New Roman"/>
          <w:b/>
        </w:rPr>
        <w:t>Fonte:</w:t>
      </w:r>
      <w:r w:rsidRPr="004A7D8B">
        <w:rPr>
          <w:rFonts w:cs="Times New Roman"/>
        </w:rPr>
        <w:t xml:space="preserve"> Elabor</w:t>
      </w:r>
      <w:r w:rsidR="003234FE">
        <w:rPr>
          <w:rFonts w:cs="Times New Roman"/>
        </w:rPr>
        <w:t xml:space="preserve">ado pela autora </w:t>
      </w:r>
      <w:proofErr w:type="spellStart"/>
      <w:r w:rsidR="003234FE">
        <w:rPr>
          <w:rFonts w:cs="Times New Roman"/>
        </w:rPr>
        <w:t>Fontineles</w:t>
      </w:r>
      <w:proofErr w:type="spellEnd"/>
      <w:r w:rsidR="003234FE">
        <w:rPr>
          <w:rFonts w:cs="Times New Roman"/>
        </w:rPr>
        <w:t xml:space="preserve"> (2016</w:t>
      </w:r>
      <w:r w:rsidRPr="004A7D8B">
        <w:rPr>
          <w:rFonts w:cs="Times New Roman"/>
        </w:rPr>
        <w:t>)</w:t>
      </w:r>
    </w:p>
    <w:p w14:paraId="2EDBD100" w14:textId="00E815A0" w:rsidR="00CE71C7" w:rsidRPr="00B63F72" w:rsidRDefault="003A329D" w:rsidP="00CE71C7">
      <w:pPr>
        <w:spacing w:line="360" w:lineRule="auto"/>
        <w:ind w:firstLine="708"/>
        <w:rPr>
          <w:rFonts w:cs="Times New Roman"/>
          <w:szCs w:val="24"/>
        </w:rPr>
      </w:pPr>
      <w:r>
        <w:rPr>
          <w:rFonts w:cs="Times New Roman"/>
          <w:szCs w:val="24"/>
        </w:rPr>
        <w:t xml:space="preserve">Fatos nacionais e locais </w:t>
      </w:r>
      <w:r w:rsidR="00CE71C7" w:rsidRPr="00432985">
        <w:rPr>
          <w:rFonts w:cs="Times New Roman"/>
          <w:szCs w:val="24"/>
        </w:rPr>
        <w:t>cuja leitura depende das localizações com as configurações sociais, políticas e econômicas às quais remete. O que explicaria os dados que se mantiveram e os que oscilaram? Há relação direta com as proposições da política econômica nacional e local? Em que medida os números corroboram ou colocam em suspeição outras fontes. Em suma, quais os pontos de consonância e dissonância entre os dados numéricos e as informações oriundas de outras fontes?</w:t>
      </w:r>
    </w:p>
    <w:p w14:paraId="0F24190C" w14:textId="62924575" w:rsidR="00DC1607" w:rsidRPr="00B63F72" w:rsidRDefault="00CE71C7" w:rsidP="00CE71C7">
      <w:pPr>
        <w:spacing w:line="360" w:lineRule="auto"/>
        <w:ind w:firstLine="708"/>
        <w:rPr>
          <w:rFonts w:cs="Times New Roman"/>
          <w:szCs w:val="24"/>
        </w:rPr>
      </w:pPr>
      <w:r w:rsidRPr="00B63F72">
        <w:rPr>
          <w:rFonts w:cs="Times New Roman"/>
          <w:szCs w:val="24"/>
        </w:rPr>
        <w:lastRenderedPageBreak/>
        <w:t>Assim, as variações e oscilações nos índices, desde a década de 1990, devem ser vist</w:t>
      </w:r>
      <w:r w:rsidR="00DC1607">
        <w:rPr>
          <w:rFonts w:cs="Times New Roman"/>
          <w:szCs w:val="24"/>
        </w:rPr>
        <w:t>o</w:t>
      </w:r>
      <w:r w:rsidRPr="00B63F72">
        <w:rPr>
          <w:rFonts w:cs="Times New Roman"/>
          <w:szCs w:val="24"/>
        </w:rPr>
        <w:t>s, por meio dos dados numéricos, como o “não-dito” que precisa de outras chaves de leitura: a contextualização do período em que foram produzidos. Os dados não são a verdade em si mesmos. Eles são indícios, que devem ser interpretados e não apenas catalogados e apresentados. Trata-se, assim, de implementar uma análise do discurso que promova a interação do dito e do não-dito, entre o alfabético e o numérico (viés mais presente no presente estudo) e, quando necessário, entre o verbal e o não-verbal. Como os índices da valorização são “ditos” só podem ser compreendidos no seio de sua contextualização, de seu período, de seu “não-dito”, visto que “o não dito precede e domina o dizer”</w:t>
      </w:r>
      <w:r w:rsidRPr="00B63F72">
        <w:rPr>
          <w:rStyle w:val="Refdenotaderodap"/>
        </w:rPr>
        <w:footnoteReference w:id="3"/>
      </w:r>
      <w:r w:rsidRPr="00B63F72">
        <w:rPr>
          <w:rFonts w:cs="Times New Roman"/>
          <w:szCs w:val="24"/>
        </w:rPr>
        <w:t xml:space="preserve">. É nesse campo de interconexões discursivas que se percebem avanços e recuos, continuidades e descontinuidades nos números aqui analisados, demonstrando a dinâmica das políticas econômicas, sobretudo conduzidas pelas mudanças cambiais e fiscais. </w:t>
      </w:r>
    </w:p>
    <w:p w14:paraId="76E19B20" w14:textId="2816857E" w:rsidR="00CE71C7" w:rsidRDefault="002B0F61" w:rsidP="00CE71C7">
      <w:pPr>
        <w:spacing w:line="360" w:lineRule="auto"/>
        <w:ind w:firstLine="708"/>
        <w:rPr>
          <w:rFonts w:cs="Times New Roman"/>
        </w:rPr>
      </w:pPr>
      <w:r>
        <w:rPr>
          <w:rFonts w:eastAsia="Calibri" w:cs="Times New Roman"/>
        </w:rPr>
        <w:t xml:space="preserve">Tomando por base essa </w:t>
      </w:r>
      <w:r w:rsidR="006F31AB">
        <w:rPr>
          <w:rFonts w:eastAsia="Calibri" w:cs="Times New Roman"/>
        </w:rPr>
        <w:t xml:space="preserve">explanação a </w:t>
      </w:r>
      <w:r w:rsidR="00CE71C7" w:rsidRPr="004A7D8B">
        <w:rPr>
          <w:rFonts w:eastAsia="Calibri" w:cs="Times New Roman"/>
        </w:rPr>
        <w:t xml:space="preserve">seguir </w:t>
      </w:r>
      <w:r w:rsidR="006F31AB">
        <w:rPr>
          <w:rFonts w:eastAsia="Calibri" w:cs="Times New Roman"/>
        </w:rPr>
        <w:t xml:space="preserve">são </w:t>
      </w:r>
      <w:r w:rsidR="00CE71C7" w:rsidRPr="004A7D8B">
        <w:rPr>
          <w:rFonts w:eastAsia="Calibri" w:cs="Times New Roman"/>
        </w:rPr>
        <w:t>a</w:t>
      </w:r>
      <w:r w:rsidR="00CE71C7" w:rsidRPr="004A7D8B">
        <w:rPr>
          <w:rFonts w:cs="Times New Roman"/>
        </w:rPr>
        <w:t>nalisa</w:t>
      </w:r>
      <w:r w:rsidR="006F31AB">
        <w:rPr>
          <w:rFonts w:cs="Times New Roman"/>
        </w:rPr>
        <w:t>das</w:t>
      </w:r>
      <w:r w:rsidR="00CE71C7" w:rsidRPr="004A7D8B">
        <w:rPr>
          <w:rFonts w:cs="Times New Roman"/>
        </w:rPr>
        <w:t xml:space="preserve"> as tabelas de vencimento dos</w:t>
      </w:r>
      <w:r w:rsidR="00CE71C7" w:rsidRPr="004A7D8B">
        <w:rPr>
          <w:rFonts w:cs="Times New Roman"/>
          <w:color w:val="C00000"/>
        </w:rPr>
        <w:t xml:space="preserve"> </w:t>
      </w:r>
      <w:r w:rsidR="00CE71C7" w:rsidRPr="004A7D8B">
        <w:rPr>
          <w:rFonts w:eastAsia="Calibri" w:cs="Times New Roman"/>
        </w:rPr>
        <w:t>Professores da Rede Pública Estadual de Ensino do Piauí</w:t>
      </w:r>
      <w:r w:rsidR="00CE71C7">
        <w:rPr>
          <w:rFonts w:eastAsia="Calibri" w:cs="Times New Roman"/>
        </w:rPr>
        <w:t>,</w:t>
      </w:r>
      <w:r w:rsidR="00CE71C7" w:rsidRPr="004A7D8B">
        <w:rPr>
          <w:rFonts w:cs="Times New Roman"/>
        </w:rPr>
        <w:t xml:space="preserve"> no período de 1996 a 2016. Esse procedimento analítico toma como referência os Planos de Carreira dos professores, procurando dialogar com os documentos legais que respaldam a elaboração ou adequação dos Planos de carreira. Será tomado</w:t>
      </w:r>
      <w:r w:rsidR="00CE71C7">
        <w:rPr>
          <w:rFonts w:cs="Times New Roman"/>
        </w:rPr>
        <w:t xml:space="preserve">, ainda, </w:t>
      </w:r>
      <w:r w:rsidR="00CE71C7" w:rsidRPr="004A7D8B">
        <w:rPr>
          <w:rFonts w:cs="Times New Roman"/>
        </w:rPr>
        <w:t>como referência o professor com jornada de trabalho de 40 horas, no início das classes correspondentes aos seguintes níveis de formação/titulação: Nível Médio, Licenciatura, Especialização, Mestrado e Doutorado.</w:t>
      </w:r>
    </w:p>
    <w:p w14:paraId="48091C8D" w14:textId="2FDD6E3C" w:rsidR="00CE71C7" w:rsidRPr="00FA3B1E" w:rsidRDefault="00CE71C7" w:rsidP="00FA3B1E">
      <w:pPr>
        <w:pStyle w:val="Ttulo3"/>
      </w:pPr>
      <w:bookmarkStart w:id="2" w:name="_Toc463359017"/>
      <w:bookmarkStart w:id="3" w:name="_Toc466208084"/>
      <w:bookmarkStart w:id="4" w:name="_Toc469653138"/>
      <w:r w:rsidRPr="00FA3B1E">
        <w:lastRenderedPageBreak/>
        <w:t xml:space="preserve">Vencimento </w:t>
      </w:r>
      <w:bookmarkEnd w:id="2"/>
      <w:bookmarkEnd w:id="3"/>
      <w:bookmarkEnd w:id="4"/>
      <w:r w:rsidR="000D1127" w:rsidRPr="00FA3B1E">
        <w:t xml:space="preserve">salarial e os níveis de formação dos professores da </w:t>
      </w:r>
      <w:proofErr w:type="spellStart"/>
      <w:r w:rsidR="000D1127" w:rsidRPr="00FA3B1E">
        <w:t>Seduc</w:t>
      </w:r>
      <w:proofErr w:type="spellEnd"/>
    </w:p>
    <w:p w14:paraId="209925DD" w14:textId="77777777" w:rsidR="00CE71C7" w:rsidRPr="003E0C31" w:rsidRDefault="00CE71C7" w:rsidP="00C57F4C">
      <w:pPr>
        <w:pStyle w:val="PargrafodaLista"/>
        <w:rPr>
          <w:rFonts w:cs="Times New Roman"/>
        </w:rPr>
      </w:pPr>
      <w:r w:rsidRPr="004A7D8B">
        <w:rPr>
          <w:rFonts w:cs="Times New Roman"/>
        </w:rPr>
        <w:t>A t</w:t>
      </w:r>
      <w:r w:rsidR="006B0CA2">
        <w:rPr>
          <w:rFonts w:cs="Times New Roman"/>
        </w:rPr>
        <w:t>abela 1</w:t>
      </w:r>
      <w:r>
        <w:rPr>
          <w:rFonts w:cs="Times New Roman"/>
        </w:rPr>
        <w:t>,</w:t>
      </w:r>
      <w:r w:rsidRPr="004A7D8B">
        <w:rPr>
          <w:rFonts w:cs="Times New Roman"/>
        </w:rPr>
        <w:t xml:space="preserve"> a seguir</w:t>
      </w:r>
      <w:r>
        <w:rPr>
          <w:rFonts w:cs="Times New Roman"/>
        </w:rPr>
        <w:t>,</w:t>
      </w:r>
      <w:r w:rsidRPr="004A7D8B">
        <w:rPr>
          <w:rFonts w:cs="Times New Roman"/>
        </w:rPr>
        <w:t xml:space="preserve"> apresenta, em valores nominais, o vencimento salarial do professor 40 horas, no período de 1996 a 2016, considerando os níveis de formação dos professores (no nível 1 de cada classe).  </w:t>
      </w:r>
    </w:p>
    <w:p w14:paraId="2E4E648E" w14:textId="77777777" w:rsidR="00CE71C7" w:rsidRPr="004A7D8B" w:rsidRDefault="00CE71C7" w:rsidP="00CE71C7">
      <w:pPr>
        <w:pStyle w:val="Legenda"/>
      </w:pPr>
      <w:bookmarkStart w:id="5" w:name="_Toc469647923"/>
      <w:r w:rsidRPr="004A7D8B">
        <w:t xml:space="preserve">Tabela </w:t>
      </w:r>
      <w:r w:rsidR="006B0CA2">
        <w:t>1</w:t>
      </w:r>
      <w:r w:rsidRPr="004A7D8B">
        <w:t xml:space="preserve">- Vencimento Salarial dos Professores da </w:t>
      </w:r>
      <w:proofErr w:type="spellStart"/>
      <w:r w:rsidRPr="004A7D8B">
        <w:t>Seduc</w:t>
      </w:r>
      <w:proofErr w:type="spellEnd"/>
      <w:r w:rsidRPr="004A7D8B">
        <w:t xml:space="preserve"> - Piauí (1996-2016)</w:t>
      </w:r>
      <w:bookmarkEnd w:id="5"/>
    </w:p>
    <w:tbl>
      <w:tblPr>
        <w:tblW w:w="5000" w:type="pct"/>
        <w:tblCellMar>
          <w:left w:w="70" w:type="dxa"/>
          <w:right w:w="70" w:type="dxa"/>
        </w:tblCellMar>
        <w:tblLook w:val="04A0" w:firstRow="1" w:lastRow="0" w:firstColumn="1" w:lastColumn="0" w:noHBand="0" w:noVBand="1"/>
      </w:tblPr>
      <w:tblGrid>
        <w:gridCol w:w="585"/>
        <w:gridCol w:w="1512"/>
        <w:gridCol w:w="1707"/>
        <w:gridCol w:w="1941"/>
        <w:gridCol w:w="1296"/>
        <w:gridCol w:w="1463"/>
      </w:tblGrid>
      <w:tr w:rsidR="00CE71C7" w:rsidRPr="004A7D8B" w14:paraId="261378B9" w14:textId="77777777" w:rsidTr="006F6877">
        <w:trPr>
          <w:trHeight w:val="494"/>
        </w:trPr>
        <w:tc>
          <w:tcPr>
            <w:tcW w:w="338" w:type="pct"/>
            <w:tcBorders>
              <w:top w:val="single" w:sz="4" w:space="0" w:color="auto"/>
              <w:bottom w:val="single" w:sz="4" w:space="0" w:color="auto"/>
            </w:tcBorders>
            <w:shd w:val="clear" w:color="auto" w:fill="D9D9D9" w:themeFill="background1" w:themeFillShade="D9"/>
            <w:noWrap/>
            <w:vAlign w:val="center"/>
            <w:hideMark/>
          </w:tcPr>
          <w:p w14:paraId="10746A30" w14:textId="77777777" w:rsidR="00CE71C7" w:rsidRPr="004A7D8B" w:rsidRDefault="00CE71C7" w:rsidP="006F6877">
            <w:pPr>
              <w:jc w:val="center"/>
              <w:rPr>
                <w:rFonts w:eastAsia="Times New Roman" w:cs="Times New Roman"/>
                <w:b/>
                <w:sz w:val="20"/>
                <w:szCs w:val="20"/>
                <w:lang w:eastAsia="pt-BR"/>
              </w:rPr>
            </w:pPr>
            <w:r w:rsidRPr="004A7D8B">
              <w:rPr>
                <w:rFonts w:eastAsia="Times New Roman" w:cs="Times New Roman"/>
                <w:b/>
                <w:sz w:val="20"/>
                <w:szCs w:val="20"/>
                <w:lang w:eastAsia="pt-BR"/>
              </w:rPr>
              <w:t>ANO</w:t>
            </w:r>
          </w:p>
        </w:tc>
        <w:tc>
          <w:tcPr>
            <w:tcW w:w="958" w:type="pct"/>
            <w:tcBorders>
              <w:top w:val="single" w:sz="4" w:space="0" w:color="auto"/>
              <w:bottom w:val="single" w:sz="4" w:space="0" w:color="auto"/>
            </w:tcBorders>
            <w:shd w:val="clear" w:color="auto" w:fill="D9D9D9" w:themeFill="background1" w:themeFillShade="D9"/>
            <w:noWrap/>
            <w:vAlign w:val="center"/>
            <w:hideMark/>
          </w:tcPr>
          <w:p w14:paraId="5D1A7BAB" w14:textId="77777777" w:rsidR="00CE71C7" w:rsidRPr="004A7D8B" w:rsidRDefault="00BE0D84" w:rsidP="006F6877">
            <w:pPr>
              <w:jc w:val="center"/>
              <w:rPr>
                <w:rFonts w:eastAsia="Times New Roman" w:cs="Times New Roman"/>
                <w:b/>
                <w:bCs/>
                <w:sz w:val="20"/>
                <w:szCs w:val="20"/>
                <w:lang w:eastAsia="pt-BR"/>
              </w:rPr>
            </w:pPr>
            <w:r>
              <w:rPr>
                <w:rFonts w:eastAsia="Times New Roman" w:cs="Times New Roman"/>
                <w:b/>
                <w:bCs/>
                <w:sz w:val="20"/>
                <w:szCs w:val="20"/>
                <w:lang w:eastAsia="pt-BR"/>
              </w:rPr>
              <w:t>ENS.</w:t>
            </w:r>
            <w:r w:rsidR="00CE71C7" w:rsidRPr="004A7D8B">
              <w:rPr>
                <w:rFonts w:eastAsia="Times New Roman" w:cs="Times New Roman"/>
                <w:b/>
                <w:bCs/>
                <w:sz w:val="20"/>
                <w:szCs w:val="20"/>
                <w:lang w:eastAsia="pt-BR"/>
              </w:rPr>
              <w:t xml:space="preserve"> MÉDIO</w:t>
            </w:r>
          </w:p>
        </w:tc>
        <w:tc>
          <w:tcPr>
            <w:tcW w:w="987" w:type="pct"/>
            <w:tcBorders>
              <w:top w:val="single" w:sz="4" w:space="0" w:color="auto"/>
              <w:bottom w:val="single" w:sz="4" w:space="0" w:color="auto"/>
            </w:tcBorders>
            <w:shd w:val="clear" w:color="auto" w:fill="D9D9D9" w:themeFill="background1" w:themeFillShade="D9"/>
            <w:noWrap/>
            <w:vAlign w:val="center"/>
            <w:hideMark/>
          </w:tcPr>
          <w:p w14:paraId="5C072CDB" w14:textId="77777777" w:rsidR="00CE71C7" w:rsidRPr="004A7D8B" w:rsidRDefault="00CE71C7"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LICENCIATURA</w:t>
            </w:r>
          </w:p>
        </w:tc>
        <w:tc>
          <w:tcPr>
            <w:tcW w:w="1122" w:type="pct"/>
            <w:tcBorders>
              <w:top w:val="single" w:sz="4" w:space="0" w:color="auto"/>
              <w:bottom w:val="single" w:sz="4" w:space="0" w:color="auto"/>
            </w:tcBorders>
            <w:shd w:val="clear" w:color="auto" w:fill="D9D9D9" w:themeFill="background1" w:themeFillShade="D9"/>
            <w:noWrap/>
            <w:vAlign w:val="center"/>
            <w:hideMark/>
          </w:tcPr>
          <w:p w14:paraId="1A50B051" w14:textId="77777777" w:rsidR="00CE71C7" w:rsidRPr="004A7D8B" w:rsidRDefault="00CE71C7"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ESPECIALIZAÇÃO</w:t>
            </w:r>
          </w:p>
        </w:tc>
        <w:tc>
          <w:tcPr>
            <w:tcW w:w="749" w:type="pct"/>
            <w:tcBorders>
              <w:top w:val="single" w:sz="4" w:space="0" w:color="auto"/>
              <w:bottom w:val="single" w:sz="4" w:space="0" w:color="auto"/>
            </w:tcBorders>
            <w:shd w:val="clear" w:color="auto" w:fill="D9D9D9" w:themeFill="background1" w:themeFillShade="D9"/>
            <w:noWrap/>
            <w:vAlign w:val="center"/>
            <w:hideMark/>
          </w:tcPr>
          <w:p w14:paraId="2488D657" w14:textId="77777777" w:rsidR="00CE71C7" w:rsidRPr="004A7D8B" w:rsidRDefault="00CE71C7"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MESTRADO</w:t>
            </w:r>
          </w:p>
        </w:tc>
        <w:tc>
          <w:tcPr>
            <w:tcW w:w="846" w:type="pct"/>
            <w:tcBorders>
              <w:top w:val="single" w:sz="4" w:space="0" w:color="auto"/>
              <w:bottom w:val="single" w:sz="4" w:space="0" w:color="auto"/>
            </w:tcBorders>
            <w:shd w:val="clear" w:color="auto" w:fill="D9D9D9" w:themeFill="background1" w:themeFillShade="D9"/>
            <w:noWrap/>
            <w:vAlign w:val="center"/>
            <w:hideMark/>
          </w:tcPr>
          <w:p w14:paraId="309382F3" w14:textId="77777777" w:rsidR="00CE71C7" w:rsidRPr="004A7D8B" w:rsidRDefault="00CE71C7"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DOUTORADO</w:t>
            </w:r>
          </w:p>
        </w:tc>
      </w:tr>
      <w:tr w:rsidR="00CE71C7" w:rsidRPr="004A7D8B" w14:paraId="3E0C2567" w14:textId="77777777" w:rsidTr="006F6877">
        <w:trPr>
          <w:trHeight w:val="255"/>
        </w:trPr>
        <w:tc>
          <w:tcPr>
            <w:tcW w:w="338" w:type="pct"/>
            <w:tcBorders>
              <w:top w:val="single" w:sz="4" w:space="0" w:color="auto"/>
            </w:tcBorders>
            <w:shd w:val="clear" w:color="auto" w:fill="auto"/>
            <w:noWrap/>
            <w:vAlign w:val="center"/>
            <w:hideMark/>
          </w:tcPr>
          <w:p w14:paraId="540B1FE1"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1996</w:t>
            </w:r>
          </w:p>
        </w:tc>
        <w:tc>
          <w:tcPr>
            <w:tcW w:w="958" w:type="pct"/>
            <w:tcBorders>
              <w:top w:val="single" w:sz="4" w:space="0" w:color="auto"/>
            </w:tcBorders>
            <w:shd w:val="clear" w:color="auto" w:fill="auto"/>
            <w:noWrap/>
            <w:vAlign w:val="center"/>
            <w:hideMark/>
          </w:tcPr>
          <w:p w14:paraId="49D2F04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tcBorders>
              <w:top w:val="single" w:sz="4" w:space="0" w:color="auto"/>
            </w:tcBorders>
            <w:shd w:val="clear" w:color="auto" w:fill="auto"/>
            <w:noWrap/>
            <w:vAlign w:val="center"/>
            <w:hideMark/>
          </w:tcPr>
          <w:p w14:paraId="3C59939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243,99</w:t>
            </w:r>
          </w:p>
        </w:tc>
        <w:tc>
          <w:tcPr>
            <w:tcW w:w="1122" w:type="pct"/>
            <w:tcBorders>
              <w:top w:val="single" w:sz="4" w:space="0" w:color="auto"/>
            </w:tcBorders>
            <w:shd w:val="clear" w:color="auto" w:fill="auto"/>
            <w:noWrap/>
            <w:vAlign w:val="center"/>
            <w:hideMark/>
          </w:tcPr>
          <w:p w14:paraId="537FC49F"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tcBorders>
              <w:top w:val="single" w:sz="4" w:space="0" w:color="auto"/>
            </w:tcBorders>
            <w:shd w:val="clear" w:color="auto" w:fill="auto"/>
            <w:noWrap/>
            <w:vAlign w:val="center"/>
            <w:hideMark/>
          </w:tcPr>
          <w:p w14:paraId="67A6ED8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tcBorders>
              <w:top w:val="single" w:sz="4" w:space="0" w:color="auto"/>
            </w:tcBorders>
            <w:shd w:val="clear" w:color="auto" w:fill="auto"/>
            <w:noWrap/>
            <w:vAlign w:val="center"/>
            <w:hideMark/>
          </w:tcPr>
          <w:p w14:paraId="09F2AE0F"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65BDEB66" w14:textId="77777777" w:rsidTr="006F6877">
        <w:trPr>
          <w:trHeight w:val="255"/>
        </w:trPr>
        <w:tc>
          <w:tcPr>
            <w:tcW w:w="338" w:type="pct"/>
            <w:shd w:val="clear" w:color="auto" w:fill="auto"/>
            <w:noWrap/>
            <w:vAlign w:val="center"/>
            <w:hideMark/>
          </w:tcPr>
          <w:p w14:paraId="7303C3D8"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1997</w:t>
            </w:r>
          </w:p>
        </w:tc>
        <w:tc>
          <w:tcPr>
            <w:tcW w:w="958" w:type="pct"/>
            <w:shd w:val="clear" w:color="auto" w:fill="auto"/>
            <w:noWrap/>
            <w:vAlign w:val="center"/>
            <w:hideMark/>
          </w:tcPr>
          <w:p w14:paraId="727D371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shd w:val="clear" w:color="auto" w:fill="auto"/>
            <w:noWrap/>
            <w:vAlign w:val="center"/>
            <w:hideMark/>
          </w:tcPr>
          <w:p w14:paraId="48B776D9"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24</w:t>
            </w:r>
            <w:r w:rsidRPr="004A7D8B">
              <w:rPr>
                <w:rFonts w:eastAsia="Calibri" w:cs="Times New Roman"/>
                <w:sz w:val="20"/>
                <w:szCs w:val="20"/>
              </w:rPr>
              <w:t>3,98</w:t>
            </w:r>
          </w:p>
        </w:tc>
        <w:tc>
          <w:tcPr>
            <w:tcW w:w="1122" w:type="pct"/>
            <w:shd w:val="clear" w:color="auto" w:fill="auto"/>
            <w:noWrap/>
            <w:vAlign w:val="center"/>
            <w:hideMark/>
          </w:tcPr>
          <w:p w14:paraId="415748A9"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shd w:val="clear" w:color="auto" w:fill="auto"/>
            <w:noWrap/>
            <w:vAlign w:val="center"/>
            <w:hideMark/>
          </w:tcPr>
          <w:p w14:paraId="4C8B4F7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shd w:val="clear" w:color="auto" w:fill="auto"/>
            <w:noWrap/>
            <w:vAlign w:val="center"/>
            <w:hideMark/>
          </w:tcPr>
          <w:p w14:paraId="17745A6E"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723CF23C" w14:textId="77777777" w:rsidTr="006F6877">
        <w:trPr>
          <w:trHeight w:val="255"/>
        </w:trPr>
        <w:tc>
          <w:tcPr>
            <w:tcW w:w="338" w:type="pct"/>
            <w:shd w:val="clear" w:color="auto" w:fill="auto"/>
            <w:noWrap/>
            <w:vAlign w:val="center"/>
            <w:hideMark/>
          </w:tcPr>
          <w:p w14:paraId="41FCA629"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1998</w:t>
            </w:r>
          </w:p>
        </w:tc>
        <w:tc>
          <w:tcPr>
            <w:tcW w:w="958" w:type="pct"/>
            <w:shd w:val="clear" w:color="auto" w:fill="auto"/>
            <w:noWrap/>
            <w:vAlign w:val="center"/>
            <w:hideMark/>
          </w:tcPr>
          <w:p w14:paraId="147F414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shd w:val="clear" w:color="auto" w:fill="auto"/>
            <w:noWrap/>
            <w:vAlign w:val="center"/>
            <w:hideMark/>
          </w:tcPr>
          <w:p w14:paraId="70F7CDC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243,98</w:t>
            </w:r>
          </w:p>
        </w:tc>
        <w:tc>
          <w:tcPr>
            <w:tcW w:w="1122" w:type="pct"/>
            <w:shd w:val="clear" w:color="auto" w:fill="auto"/>
            <w:noWrap/>
            <w:vAlign w:val="center"/>
            <w:hideMark/>
          </w:tcPr>
          <w:p w14:paraId="6D9D4F3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shd w:val="clear" w:color="auto" w:fill="auto"/>
            <w:noWrap/>
            <w:vAlign w:val="center"/>
            <w:hideMark/>
          </w:tcPr>
          <w:p w14:paraId="46F4AC4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shd w:val="clear" w:color="auto" w:fill="auto"/>
            <w:noWrap/>
            <w:vAlign w:val="center"/>
            <w:hideMark/>
          </w:tcPr>
          <w:p w14:paraId="3380E0C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7D0D53F3" w14:textId="77777777" w:rsidTr="006F6877">
        <w:trPr>
          <w:trHeight w:val="255"/>
        </w:trPr>
        <w:tc>
          <w:tcPr>
            <w:tcW w:w="338" w:type="pct"/>
            <w:shd w:val="clear" w:color="auto" w:fill="auto"/>
            <w:noWrap/>
            <w:vAlign w:val="center"/>
            <w:hideMark/>
          </w:tcPr>
          <w:p w14:paraId="2725D8DE"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1999</w:t>
            </w:r>
          </w:p>
        </w:tc>
        <w:tc>
          <w:tcPr>
            <w:tcW w:w="958" w:type="pct"/>
            <w:shd w:val="clear" w:color="auto" w:fill="auto"/>
            <w:noWrap/>
            <w:vAlign w:val="center"/>
            <w:hideMark/>
          </w:tcPr>
          <w:p w14:paraId="71FD73DE"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shd w:val="clear" w:color="auto" w:fill="auto"/>
            <w:noWrap/>
            <w:vAlign w:val="center"/>
            <w:hideMark/>
          </w:tcPr>
          <w:p w14:paraId="235306D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243,98</w:t>
            </w:r>
          </w:p>
        </w:tc>
        <w:tc>
          <w:tcPr>
            <w:tcW w:w="1122" w:type="pct"/>
            <w:shd w:val="clear" w:color="auto" w:fill="auto"/>
            <w:noWrap/>
            <w:vAlign w:val="center"/>
            <w:hideMark/>
          </w:tcPr>
          <w:p w14:paraId="4339E48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shd w:val="clear" w:color="auto" w:fill="auto"/>
            <w:noWrap/>
            <w:vAlign w:val="center"/>
            <w:hideMark/>
          </w:tcPr>
          <w:p w14:paraId="1F01165E"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shd w:val="clear" w:color="auto" w:fill="auto"/>
            <w:noWrap/>
            <w:vAlign w:val="center"/>
            <w:hideMark/>
          </w:tcPr>
          <w:p w14:paraId="07C3C94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279C5283" w14:textId="77777777" w:rsidTr="006F6877">
        <w:trPr>
          <w:trHeight w:val="255"/>
        </w:trPr>
        <w:tc>
          <w:tcPr>
            <w:tcW w:w="338" w:type="pct"/>
            <w:shd w:val="clear" w:color="auto" w:fill="auto"/>
            <w:noWrap/>
            <w:vAlign w:val="center"/>
            <w:hideMark/>
          </w:tcPr>
          <w:p w14:paraId="035A8319"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2000</w:t>
            </w:r>
          </w:p>
        </w:tc>
        <w:tc>
          <w:tcPr>
            <w:tcW w:w="958" w:type="pct"/>
            <w:shd w:val="clear" w:color="auto" w:fill="auto"/>
            <w:noWrap/>
            <w:vAlign w:val="center"/>
            <w:hideMark/>
          </w:tcPr>
          <w:p w14:paraId="4264064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shd w:val="clear" w:color="auto" w:fill="auto"/>
            <w:noWrap/>
            <w:vAlign w:val="center"/>
            <w:hideMark/>
          </w:tcPr>
          <w:p w14:paraId="12510A5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243,98</w:t>
            </w:r>
          </w:p>
        </w:tc>
        <w:tc>
          <w:tcPr>
            <w:tcW w:w="1122" w:type="pct"/>
            <w:shd w:val="clear" w:color="auto" w:fill="auto"/>
            <w:noWrap/>
            <w:vAlign w:val="center"/>
            <w:hideMark/>
          </w:tcPr>
          <w:p w14:paraId="4A056DF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shd w:val="clear" w:color="auto" w:fill="auto"/>
            <w:noWrap/>
            <w:vAlign w:val="center"/>
            <w:hideMark/>
          </w:tcPr>
          <w:p w14:paraId="4D585A79"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shd w:val="clear" w:color="auto" w:fill="auto"/>
            <w:noWrap/>
            <w:vAlign w:val="center"/>
            <w:hideMark/>
          </w:tcPr>
          <w:p w14:paraId="5193A13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7CD0B3E3" w14:textId="77777777" w:rsidTr="006F6877">
        <w:trPr>
          <w:trHeight w:val="255"/>
        </w:trPr>
        <w:tc>
          <w:tcPr>
            <w:tcW w:w="338" w:type="pct"/>
            <w:shd w:val="clear" w:color="auto" w:fill="auto"/>
            <w:noWrap/>
            <w:vAlign w:val="center"/>
            <w:hideMark/>
          </w:tcPr>
          <w:p w14:paraId="3316206A"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2001</w:t>
            </w:r>
          </w:p>
        </w:tc>
        <w:tc>
          <w:tcPr>
            <w:tcW w:w="958" w:type="pct"/>
            <w:shd w:val="clear" w:color="auto" w:fill="auto"/>
            <w:noWrap/>
            <w:vAlign w:val="center"/>
            <w:hideMark/>
          </w:tcPr>
          <w:p w14:paraId="72E65E8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204,36</w:t>
            </w:r>
          </w:p>
        </w:tc>
        <w:tc>
          <w:tcPr>
            <w:tcW w:w="987" w:type="pct"/>
            <w:shd w:val="clear" w:color="auto" w:fill="auto"/>
            <w:noWrap/>
            <w:vAlign w:val="center"/>
            <w:hideMark/>
          </w:tcPr>
          <w:p w14:paraId="0AC4F042"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243,98</w:t>
            </w:r>
          </w:p>
        </w:tc>
        <w:tc>
          <w:tcPr>
            <w:tcW w:w="1122" w:type="pct"/>
            <w:shd w:val="clear" w:color="auto" w:fill="auto"/>
            <w:noWrap/>
            <w:vAlign w:val="center"/>
            <w:hideMark/>
          </w:tcPr>
          <w:p w14:paraId="4041C2A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268,94</w:t>
            </w:r>
          </w:p>
        </w:tc>
        <w:tc>
          <w:tcPr>
            <w:tcW w:w="749" w:type="pct"/>
            <w:shd w:val="clear" w:color="auto" w:fill="auto"/>
            <w:noWrap/>
            <w:vAlign w:val="center"/>
            <w:hideMark/>
          </w:tcPr>
          <w:p w14:paraId="35D5871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308,46</w:t>
            </w:r>
          </w:p>
        </w:tc>
        <w:tc>
          <w:tcPr>
            <w:tcW w:w="846" w:type="pct"/>
            <w:shd w:val="clear" w:color="auto" w:fill="auto"/>
            <w:noWrap/>
            <w:vAlign w:val="center"/>
            <w:hideMark/>
          </w:tcPr>
          <w:p w14:paraId="5BAC51F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333,34</w:t>
            </w:r>
          </w:p>
        </w:tc>
      </w:tr>
      <w:tr w:rsidR="00CE71C7" w:rsidRPr="004A7D8B" w14:paraId="03020F4D" w14:textId="77777777" w:rsidTr="006F6877">
        <w:trPr>
          <w:trHeight w:val="255"/>
        </w:trPr>
        <w:tc>
          <w:tcPr>
            <w:tcW w:w="338" w:type="pct"/>
            <w:shd w:val="clear" w:color="auto" w:fill="auto"/>
            <w:noWrap/>
            <w:vAlign w:val="center"/>
            <w:hideMark/>
          </w:tcPr>
          <w:p w14:paraId="6D91F8C8"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2002</w:t>
            </w:r>
          </w:p>
        </w:tc>
        <w:tc>
          <w:tcPr>
            <w:tcW w:w="958" w:type="pct"/>
            <w:shd w:val="clear" w:color="auto" w:fill="auto"/>
            <w:noWrap/>
            <w:vAlign w:val="center"/>
            <w:hideMark/>
          </w:tcPr>
          <w:p w14:paraId="1402117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302,18</w:t>
            </w:r>
          </w:p>
        </w:tc>
        <w:tc>
          <w:tcPr>
            <w:tcW w:w="987" w:type="pct"/>
            <w:shd w:val="clear" w:color="auto" w:fill="auto"/>
            <w:noWrap/>
            <w:vAlign w:val="center"/>
            <w:hideMark/>
          </w:tcPr>
          <w:p w14:paraId="2E6498A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341,80</w:t>
            </w:r>
          </w:p>
        </w:tc>
        <w:tc>
          <w:tcPr>
            <w:tcW w:w="1122" w:type="pct"/>
            <w:shd w:val="clear" w:color="auto" w:fill="auto"/>
            <w:noWrap/>
            <w:vAlign w:val="center"/>
            <w:hideMark/>
          </w:tcPr>
          <w:p w14:paraId="6440649A"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366,76</w:t>
            </w:r>
          </w:p>
        </w:tc>
        <w:tc>
          <w:tcPr>
            <w:tcW w:w="749" w:type="pct"/>
            <w:shd w:val="clear" w:color="auto" w:fill="auto"/>
            <w:noWrap/>
            <w:vAlign w:val="center"/>
            <w:hideMark/>
          </w:tcPr>
          <w:p w14:paraId="15605B6A"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398,28</w:t>
            </w:r>
          </w:p>
        </w:tc>
        <w:tc>
          <w:tcPr>
            <w:tcW w:w="846" w:type="pct"/>
            <w:shd w:val="clear" w:color="auto" w:fill="auto"/>
            <w:noWrap/>
            <w:vAlign w:val="center"/>
            <w:hideMark/>
          </w:tcPr>
          <w:p w14:paraId="2C9FA17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431,16</w:t>
            </w:r>
          </w:p>
        </w:tc>
      </w:tr>
      <w:tr w:rsidR="00CE71C7" w:rsidRPr="004A7D8B" w14:paraId="1EEEFE04" w14:textId="77777777" w:rsidTr="006F6877">
        <w:trPr>
          <w:trHeight w:val="255"/>
        </w:trPr>
        <w:tc>
          <w:tcPr>
            <w:tcW w:w="338" w:type="pct"/>
            <w:shd w:val="clear" w:color="auto" w:fill="auto"/>
            <w:noWrap/>
            <w:vAlign w:val="center"/>
            <w:hideMark/>
          </w:tcPr>
          <w:p w14:paraId="0111B1E0"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2003</w:t>
            </w:r>
          </w:p>
        </w:tc>
        <w:tc>
          <w:tcPr>
            <w:tcW w:w="958" w:type="pct"/>
            <w:shd w:val="clear" w:color="auto" w:fill="auto"/>
            <w:noWrap/>
            <w:vAlign w:val="center"/>
            <w:hideMark/>
          </w:tcPr>
          <w:p w14:paraId="1EE19AFF"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376,63</w:t>
            </w:r>
          </w:p>
        </w:tc>
        <w:tc>
          <w:tcPr>
            <w:tcW w:w="987" w:type="pct"/>
            <w:shd w:val="clear" w:color="auto" w:fill="auto"/>
            <w:noWrap/>
            <w:vAlign w:val="center"/>
            <w:hideMark/>
          </w:tcPr>
          <w:p w14:paraId="5003F11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388,18</w:t>
            </w:r>
          </w:p>
        </w:tc>
        <w:tc>
          <w:tcPr>
            <w:tcW w:w="1122" w:type="pct"/>
            <w:shd w:val="clear" w:color="auto" w:fill="auto"/>
            <w:noWrap/>
            <w:vAlign w:val="center"/>
            <w:hideMark/>
          </w:tcPr>
          <w:p w14:paraId="4244B87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422,91</w:t>
            </w:r>
          </w:p>
        </w:tc>
        <w:tc>
          <w:tcPr>
            <w:tcW w:w="749" w:type="pct"/>
            <w:shd w:val="clear" w:color="auto" w:fill="auto"/>
            <w:noWrap/>
            <w:vAlign w:val="center"/>
            <w:hideMark/>
          </w:tcPr>
          <w:p w14:paraId="61666D5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452,08</w:t>
            </w:r>
          </w:p>
        </w:tc>
        <w:tc>
          <w:tcPr>
            <w:tcW w:w="846" w:type="pct"/>
            <w:shd w:val="clear" w:color="auto" w:fill="auto"/>
            <w:noWrap/>
            <w:vAlign w:val="center"/>
            <w:hideMark/>
          </w:tcPr>
          <w:p w14:paraId="317CE1C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488,92</w:t>
            </w:r>
          </w:p>
        </w:tc>
      </w:tr>
      <w:tr w:rsidR="00CE71C7" w:rsidRPr="004A7D8B" w14:paraId="139B7967" w14:textId="77777777" w:rsidTr="006F6877">
        <w:trPr>
          <w:trHeight w:val="255"/>
        </w:trPr>
        <w:tc>
          <w:tcPr>
            <w:tcW w:w="338" w:type="pct"/>
            <w:shd w:val="clear" w:color="auto" w:fill="auto"/>
            <w:noWrap/>
            <w:vAlign w:val="center"/>
            <w:hideMark/>
          </w:tcPr>
          <w:p w14:paraId="5193AE0D"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2004</w:t>
            </w:r>
          </w:p>
        </w:tc>
        <w:tc>
          <w:tcPr>
            <w:tcW w:w="958" w:type="pct"/>
            <w:shd w:val="clear" w:color="auto" w:fill="auto"/>
            <w:noWrap/>
            <w:vAlign w:val="center"/>
            <w:hideMark/>
          </w:tcPr>
          <w:p w14:paraId="29891752"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442,19</w:t>
            </w:r>
          </w:p>
        </w:tc>
        <w:tc>
          <w:tcPr>
            <w:tcW w:w="987" w:type="pct"/>
            <w:shd w:val="clear" w:color="auto" w:fill="auto"/>
            <w:noWrap/>
            <w:vAlign w:val="center"/>
            <w:hideMark/>
          </w:tcPr>
          <w:p w14:paraId="0B505C2A"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497,33</w:t>
            </w:r>
          </w:p>
        </w:tc>
        <w:tc>
          <w:tcPr>
            <w:tcW w:w="1122" w:type="pct"/>
            <w:shd w:val="clear" w:color="auto" w:fill="auto"/>
            <w:noWrap/>
            <w:vAlign w:val="center"/>
            <w:hideMark/>
          </w:tcPr>
          <w:p w14:paraId="24EC73A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539,07</w:t>
            </w:r>
          </w:p>
        </w:tc>
        <w:tc>
          <w:tcPr>
            <w:tcW w:w="749" w:type="pct"/>
            <w:shd w:val="clear" w:color="auto" w:fill="auto"/>
            <w:noWrap/>
            <w:vAlign w:val="center"/>
            <w:hideMark/>
          </w:tcPr>
          <w:p w14:paraId="1E1D909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576,01</w:t>
            </w:r>
          </w:p>
        </w:tc>
        <w:tc>
          <w:tcPr>
            <w:tcW w:w="846" w:type="pct"/>
            <w:shd w:val="clear" w:color="auto" w:fill="auto"/>
            <w:noWrap/>
            <w:vAlign w:val="center"/>
            <w:hideMark/>
          </w:tcPr>
          <w:p w14:paraId="6F405F7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621,75</w:t>
            </w:r>
          </w:p>
        </w:tc>
      </w:tr>
      <w:tr w:rsidR="00CE71C7" w:rsidRPr="004A7D8B" w14:paraId="627EA5D4" w14:textId="77777777" w:rsidTr="006F6877">
        <w:trPr>
          <w:trHeight w:val="255"/>
        </w:trPr>
        <w:tc>
          <w:tcPr>
            <w:tcW w:w="338" w:type="pct"/>
            <w:shd w:val="clear" w:color="auto" w:fill="auto"/>
            <w:noWrap/>
            <w:vAlign w:val="center"/>
            <w:hideMark/>
          </w:tcPr>
          <w:p w14:paraId="4E8D332B"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2005</w:t>
            </w:r>
          </w:p>
        </w:tc>
        <w:tc>
          <w:tcPr>
            <w:tcW w:w="958" w:type="pct"/>
            <w:shd w:val="clear" w:color="auto" w:fill="auto"/>
            <w:noWrap/>
            <w:vAlign w:val="center"/>
            <w:hideMark/>
          </w:tcPr>
          <w:p w14:paraId="19F0CEC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600,00</w:t>
            </w:r>
          </w:p>
        </w:tc>
        <w:tc>
          <w:tcPr>
            <w:tcW w:w="987" w:type="pct"/>
            <w:shd w:val="clear" w:color="auto" w:fill="auto"/>
            <w:noWrap/>
            <w:vAlign w:val="center"/>
            <w:hideMark/>
          </w:tcPr>
          <w:p w14:paraId="4639F0E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609,90</w:t>
            </w:r>
          </w:p>
        </w:tc>
        <w:tc>
          <w:tcPr>
            <w:tcW w:w="1122" w:type="pct"/>
            <w:shd w:val="clear" w:color="auto" w:fill="auto"/>
            <w:noWrap/>
            <w:vAlign w:val="center"/>
            <w:hideMark/>
          </w:tcPr>
          <w:p w14:paraId="37DAA4E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639,62</w:t>
            </w:r>
          </w:p>
        </w:tc>
        <w:tc>
          <w:tcPr>
            <w:tcW w:w="749" w:type="pct"/>
            <w:shd w:val="clear" w:color="auto" w:fill="auto"/>
            <w:noWrap/>
            <w:vAlign w:val="center"/>
            <w:hideMark/>
          </w:tcPr>
          <w:p w14:paraId="59F42DF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664,57</w:t>
            </w:r>
          </w:p>
        </w:tc>
        <w:tc>
          <w:tcPr>
            <w:tcW w:w="846" w:type="pct"/>
            <w:shd w:val="clear" w:color="auto" w:fill="auto"/>
            <w:noWrap/>
            <w:vAlign w:val="center"/>
            <w:hideMark/>
          </w:tcPr>
          <w:p w14:paraId="079461F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696,10</w:t>
            </w:r>
          </w:p>
        </w:tc>
      </w:tr>
      <w:tr w:rsidR="00CE71C7" w:rsidRPr="004A7D8B" w14:paraId="012A0331" w14:textId="77777777" w:rsidTr="006F6877">
        <w:trPr>
          <w:trHeight w:val="255"/>
        </w:trPr>
        <w:tc>
          <w:tcPr>
            <w:tcW w:w="338" w:type="pct"/>
            <w:shd w:val="clear" w:color="auto" w:fill="auto"/>
            <w:noWrap/>
            <w:vAlign w:val="center"/>
            <w:hideMark/>
          </w:tcPr>
          <w:p w14:paraId="2FACAE34"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2006</w:t>
            </w:r>
          </w:p>
        </w:tc>
        <w:tc>
          <w:tcPr>
            <w:tcW w:w="958" w:type="pct"/>
            <w:shd w:val="clear" w:color="auto" w:fill="auto"/>
            <w:noWrap/>
            <w:vAlign w:val="center"/>
            <w:hideMark/>
          </w:tcPr>
          <w:p w14:paraId="0EA3C1D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700,00</w:t>
            </w:r>
          </w:p>
        </w:tc>
        <w:tc>
          <w:tcPr>
            <w:tcW w:w="987" w:type="pct"/>
            <w:shd w:val="clear" w:color="auto" w:fill="auto"/>
            <w:noWrap/>
            <w:vAlign w:val="center"/>
            <w:hideMark/>
          </w:tcPr>
          <w:p w14:paraId="3B50B48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739,62</w:t>
            </w:r>
          </w:p>
        </w:tc>
        <w:tc>
          <w:tcPr>
            <w:tcW w:w="1122" w:type="pct"/>
            <w:shd w:val="clear" w:color="auto" w:fill="auto"/>
            <w:noWrap/>
            <w:vAlign w:val="center"/>
            <w:hideMark/>
          </w:tcPr>
          <w:p w14:paraId="222B050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764,58</w:t>
            </w:r>
          </w:p>
        </w:tc>
        <w:tc>
          <w:tcPr>
            <w:tcW w:w="749" w:type="pct"/>
            <w:shd w:val="clear" w:color="auto" w:fill="auto"/>
            <w:noWrap/>
            <w:vAlign w:val="center"/>
            <w:hideMark/>
          </w:tcPr>
          <w:p w14:paraId="676B95EF"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796,10</w:t>
            </w:r>
          </w:p>
        </w:tc>
        <w:tc>
          <w:tcPr>
            <w:tcW w:w="846" w:type="pct"/>
            <w:shd w:val="clear" w:color="auto" w:fill="auto"/>
            <w:noWrap/>
            <w:vAlign w:val="center"/>
            <w:hideMark/>
          </w:tcPr>
          <w:p w14:paraId="2563CFDC"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828,98</w:t>
            </w:r>
          </w:p>
        </w:tc>
      </w:tr>
      <w:tr w:rsidR="00CE71C7" w:rsidRPr="004A7D8B" w14:paraId="4278B05D" w14:textId="77777777" w:rsidTr="006F6877">
        <w:trPr>
          <w:trHeight w:val="255"/>
        </w:trPr>
        <w:tc>
          <w:tcPr>
            <w:tcW w:w="338" w:type="pct"/>
            <w:shd w:val="clear" w:color="auto" w:fill="auto"/>
            <w:noWrap/>
            <w:vAlign w:val="center"/>
            <w:hideMark/>
          </w:tcPr>
          <w:p w14:paraId="43C9213A"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2007</w:t>
            </w:r>
          </w:p>
        </w:tc>
        <w:tc>
          <w:tcPr>
            <w:tcW w:w="958" w:type="pct"/>
            <w:shd w:val="clear" w:color="auto" w:fill="auto"/>
            <w:noWrap/>
            <w:vAlign w:val="center"/>
            <w:hideMark/>
          </w:tcPr>
          <w:p w14:paraId="160C914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780,00</w:t>
            </w:r>
          </w:p>
        </w:tc>
        <w:tc>
          <w:tcPr>
            <w:tcW w:w="987" w:type="pct"/>
            <w:shd w:val="clear" w:color="auto" w:fill="auto"/>
            <w:noWrap/>
            <w:vAlign w:val="center"/>
            <w:hideMark/>
          </w:tcPr>
          <w:p w14:paraId="7B2E229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920,00</w:t>
            </w:r>
          </w:p>
        </w:tc>
        <w:tc>
          <w:tcPr>
            <w:tcW w:w="1122" w:type="pct"/>
            <w:shd w:val="clear" w:color="auto" w:fill="auto"/>
            <w:noWrap/>
            <w:vAlign w:val="center"/>
            <w:hideMark/>
          </w:tcPr>
          <w:p w14:paraId="33F2C85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1.070,00</w:t>
            </w:r>
          </w:p>
        </w:tc>
        <w:tc>
          <w:tcPr>
            <w:tcW w:w="749" w:type="pct"/>
            <w:shd w:val="clear" w:color="auto" w:fill="auto"/>
            <w:noWrap/>
            <w:vAlign w:val="center"/>
            <w:hideMark/>
          </w:tcPr>
          <w:p w14:paraId="03FD5DD9"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1.250,00</w:t>
            </w:r>
          </w:p>
        </w:tc>
        <w:tc>
          <w:tcPr>
            <w:tcW w:w="846" w:type="pct"/>
            <w:shd w:val="clear" w:color="auto" w:fill="auto"/>
            <w:noWrap/>
            <w:vAlign w:val="center"/>
            <w:hideMark/>
          </w:tcPr>
          <w:p w14:paraId="2A05FAF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1.700,00</w:t>
            </w:r>
          </w:p>
        </w:tc>
      </w:tr>
      <w:tr w:rsidR="00CE71C7" w:rsidRPr="004A7D8B" w14:paraId="5B8AF25E" w14:textId="77777777" w:rsidTr="006F6877">
        <w:trPr>
          <w:trHeight w:val="255"/>
        </w:trPr>
        <w:tc>
          <w:tcPr>
            <w:tcW w:w="338" w:type="pct"/>
            <w:shd w:val="clear" w:color="auto" w:fill="auto"/>
            <w:noWrap/>
            <w:vAlign w:val="center"/>
            <w:hideMark/>
          </w:tcPr>
          <w:p w14:paraId="2B12BE32"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2008</w:t>
            </w:r>
          </w:p>
        </w:tc>
        <w:tc>
          <w:tcPr>
            <w:tcW w:w="958" w:type="pct"/>
            <w:shd w:val="clear" w:color="auto" w:fill="auto"/>
            <w:noWrap/>
            <w:vAlign w:val="center"/>
            <w:hideMark/>
          </w:tcPr>
          <w:p w14:paraId="091758E9"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840,00</w:t>
            </w:r>
          </w:p>
        </w:tc>
        <w:tc>
          <w:tcPr>
            <w:tcW w:w="987" w:type="pct"/>
            <w:shd w:val="clear" w:color="auto" w:fill="auto"/>
            <w:noWrap/>
            <w:vAlign w:val="center"/>
            <w:hideMark/>
          </w:tcPr>
          <w:p w14:paraId="5FBAA6D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970,60</w:t>
            </w:r>
          </w:p>
        </w:tc>
        <w:tc>
          <w:tcPr>
            <w:tcW w:w="1122" w:type="pct"/>
            <w:shd w:val="clear" w:color="auto" w:fill="auto"/>
            <w:noWrap/>
            <w:vAlign w:val="center"/>
            <w:hideMark/>
          </w:tcPr>
          <w:p w14:paraId="169EF819"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1.128,85</w:t>
            </w:r>
          </w:p>
        </w:tc>
        <w:tc>
          <w:tcPr>
            <w:tcW w:w="749" w:type="pct"/>
            <w:shd w:val="clear" w:color="auto" w:fill="auto"/>
            <w:noWrap/>
            <w:vAlign w:val="center"/>
            <w:hideMark/>
          </w:tcPr>
          <w:p w14:paraId="6BA08BD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1.318,75</w:t>
            </w:r>
          </w:p>
        </w:tc>
        <w:tc>
          <w:tcPr>
            <w:tcW w:w="846" w:type="pct"/>
            <w:shd w:val="clear" w:color="auto" w:fill="auto"/>
            <w:noWrap/>
            <w:vAlign w:val="center"/>
            <w:hideMark/>
          </w:tcPr>
          <w:p w14:paraId="09213F6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1.793,50</w:t>
            </w:r>
          </w:p>
        </w:tc>
      </w:tr>
      <w:tr w:rsidR="00CE71C7" w:rsidRPr="004A7D8B" w14:paraId="7AC14D13" w14:textId="77777777" w:rsidTr="006F6877">
        <w:trPr>
          <w:trHeight w:val="255"/>
        </w:trPr>
        <w:tc>
          <w:tcPr>
            <w:tcW w:w="338" w:type="pct"/>
            <w:shd w:val="clear" w:color="auto" w:fill="auto"/>
            <w:noWrap/>
            <w:vAlign w:val="center"/>
            <w:hideMark/>
          </w:tcPr>
          <w:p w14:paraId="7C80DBB5"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2009</w:t>
            </w:r>
          </w:p>
        </w:tc>
        <w:tc>
          <w:tcPr>
            <w:tcW w:w="958" w:type="pct"/>
            <w:shd w:val="clear" w:color="auto" w:fill="auto"/>
            <w:noWrap/>
            <w:vAlign w:val="center"/>
            <w:hideMark/>
          </w:tcPr>
          <w:p w14:paraId="7679AD9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930,00</w:t>
            </w:r>
          </w:p>
        </w:tc>
        <w:tc>
          <w:tcPr>
            <w:tcW w:w="987" w:type="pct"/>
            <w:shd w:val="clear" w:color="auto" w:fill="auto"/>
            <w:noWrap/>
            <w:vAlign w:val="center"/>
            <w:hideMark/>
          </w:tcPr>
          <w:p w14:paraId="3506011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1.080,00</w:t>
            </w:r>
          </w:p>
        </w:tc>
        <w:tc>
          <w:tcPr>
            <w:tcW w:w="1122" w:type="pct"/>
            <w:shd w:val="clear" w:color="auto" w:fill="auto"/>
            <w:noWrap/>
            <w:vAlign w:val="center"/>
            <w:hideMark/>
          </w:tcPr>
          <w:p w14:paraId="42643A2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1.280,00</w:t>
            </w:r>
          </w:p>
        </w:tc>
        <w:tc>
          <w:tcPr>
            <w:tcW w:w="749" w:type="pct"/>
            <w:shd w:val="clear" w:color="auto" w:fill="auto"/>
            <w:noWrap/>
            <w:vAlign w:val="center"/>
            <w:hideMark/>
          </w:tcPr>
          <w:p w14:paraId="1A17B48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1.500,00</w:t>
            </w:r>
          </w:p>
        </w:tc>
        <w:tc>
          <w:tcPr>
            <w:tcW w:w="846" w:type="pct"/>
            <w:shd w:val="clear" w:color="auto" w:fill="auto"/>
            <w:noWrap/>
            <w:vAlign w:val="center"/>
            <w:hideMark/>
          </w:tcPr>
          <w:p w14:paraId="1A744D2C"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2.010,00</w:t>
            </w:r>
          </w:p>
        </w:tc>
      </w:tr>
      <w:tr w:rsidR="00CE71C7" w:rsidRPr="004A7D8B" w14:paraId="315C263A" w14:textId="77777777" w:rsidTr="006F6877">
        <w:trPr>
          <w:trHeight w:val="255"/>
        </w:trPr>
        <w:tc>
          <w:tcPr>
            <w:tcW w:w="338" w:type="pct"/>
            <w:shd w:val="clear" w:color="auto" w:fill="auto"/>
            <w:noWrap/>
            <w:vAlign w:val="center"/>
            <w:hideMark/>
          </w:tcPr>
          <w:p w14:paraId="64B6C5AA"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2010</w:t>
            </w:r>
          </w:p>
        </w:tc>
        <w:tc>
          <w:tcPr>
            <w:tcW w:w="958" w:type="pct"/>
            <w:shd w:val="clear" w:color="auto" w:fill="auto"/>
            <w:noWrap/>
            <w:vAlign w:val="center"/>
            <w:hideMark/>
          </w:tcPr>
          <w:p w14:paraId="52C9FD0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1.024,68</w:t>
            </w:r>
          </w:p>
        </w:tc>
        <w:tc>
          <w:tcPr>
            <w:tcW w:w="987" w:type="pct"/>
            <w:shd w:val="clear" w:color="auto" w:fill="auto"/>
            <w:noWrap/>
            <w:vAlign w:val="center"/>
            <w:hideMark/>
          </w:tcPr>
          <w:p w14:paraId="29FCA918"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1.255,75</w:t>
            </w:r>
          </w:p>
        </w:tc>
        <w:tc>
          <w:tcPr>
            <w:tcW w:w="1122" w:type="pct"/>
            <w:shd w:val="clear" w:color="auto" w:fill="auto"/>
            <w:noWrap/>
            <w:vAlign w:val="center"/>
            <w:hideMark/>
          </w:tcPr>
          <w:p w14:paraId="5CEFD65C"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1.437,20</w:t>
            </w:r>
          </w:p>
        </w:tc>
        <w:tc>
          <w:tcPr>
            <w:tcW w:w="749" w:type="pct"/>
            <w:shd w:val="clear" w:color="auto" w:fill="auto"/>
            <w:noWrap/>
            <w:vAlign w:val="center"/>
            <w:hideMark/>
          </w:tcPr>
          <w:p w14:paraId="77FF5CB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1.644,88</w:t>
            </w:r>
          </w:p>
        </w:tc>
        <w:tc>
          <w:tcPr>
            <w:tcW w:w="846" w:type="pct"/>
            <w:shd w:val="clear" w:color="auto" w:fill="auto"/>
            <w:noWrap/>
            <w:vAlign w:val="center"/>
            <w:hideMark/>
          </w:tcPr>
          <w:p w14:paraId="1A93C0E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2.080,77</w:t>
            </w:r>
          </w:p>
        </w:tc>
      </w:tr>
      <w:tr w:rsidR="00CE71C7" w:rsidRPr="004A7D8B" w14:paraId="326199C7" w14:textId="77777777" w:rsidTr="006F6877">
        <w:trPr>
          <w:trHeight w:val="255"/>
        </w:trPr>
        <w:tc>
          <w:tcPr>
            <w:tcW w:w="338" w:type="pct"/>
            <w:shd w:val="clear" w:color="auto" w:fill="auto"/>
            <w:noWrap/>
            <w:vAlign w:val="center"/>
            <w:hideMark/>
          </w:tcPr>
          <w:p w14:paraId="37333D69"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2011</w:t>
            </w:r>
          </w:p>
        </w:tc>
        <w:tc>
          <w:tcPr>
            <w:tcW w:w="958" w:type="pct"/>
            <w:shd w:val="clear" w:color="auto" w:fill="auto"/>
            <w:noWrap/>
            <w:vAlign w:val="center"/>
            <w:hideMark/>
          </w:tcPr>
          <w:p w14:paraId="43C7C3C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1.187,08</w:t>
            </w:r>
          </w:p>
        </w:tc>
        <w:tc>
          <w:tcPr>
            <w:tcW w:w="987" w:type="pct"/>
            <w:shd w:val="clear" w:color="auto" w:fill="auto"/>
            <w:noWrap/>
            <w:vAlign w:val="center"/>
            <w:hideMark/>
          </w:tcPr>
          <w:p w14:paraId="61AE92F1"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1.41</w:t>
            </w:r>
            <w:r w:rsidRPr="004A7D8B">
              <w:rPr>
                <w:rFonts w:eastAsia="Calibri" w:cs="Times New Roman"/>
                <w:sz w:val="20"/>
                <w:szCs w:val="20"/>
              </w:rPr>
              <w:t>8,15</w:t>
            </w:r>
          </w:p>
        </w:tc>
        <w:tc>
          <w:tcPr>
            <w:tcW w:w="1122" w:type="pct"/>
            <w:shd w:val="clear" w:color="auto" w:fill="auto"/>
            <w:noWrap/>
            <w:vAlign w:val="center"/>
            <w:hideMark/>
          </w:tcPr>
          <w:p w14:paraId="014805B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1.599,60</w:t>
            </w:r>
          </w:p>
        </w:tc>
        <w:tc>
          <w:tcPr>
            <w:tcW w:w="749" w:type="pct"/>
            <w:shd w:val="clear" w:color="auto" w:fill="auto"/>
            <w:noWrap/>
            <w:vAlign w:val="center"/>
            <w:hideMark/>
          </w:tcPr>
          <w:p w14:paraId="4310E380"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1.807,80</w:t>
            </w:r>
          </w:p>
        </w:tc>
        <w:tc>
          <w:tcPr>
            <w:tcW w:w="846" w:type="pct"/>
            <w:shd w:val="clear" w:color="auto" w:fill="auto"/>
            <w:noWrap/>
            <w:vAlign w:val="center"/>
            <w:hideMark/>
          </w:tcPr>
          <w:p w14:paraId="79F4760C"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2.243,17</w:t>
            </w:r>
          </w:p>
        </w:tc>
      </w:tr>
      <w:tr w:rsidR="00CE71C7" w:rsidRPr="004A7D8B" w14:paraId="44F30C99" w14:textId="77777777" w:rsidTr="006F6877">
        <w:trPr>
          <w:trHeight w:val="255"/>
        </w:trPr>
        <w:tc>
          <w:tcPr>
            <w:tcW w:w="338" w:type="pct"/>
            <w:shd w:val="clear" w:color="auto" w:fill="auto"/>
            <w:noWrap/>
            <w:vAlign w:val="center"/>
            <w:hideMark/>
          </w:tcPr>
          <w:p w14:paraId="65554507"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2012</w:t>
            </w:r>
          </w:p>
        </w:tc>
        <w:tc>
          <w:tcPr>
            <w:tcW w:w="958" w:type="pct"/>
            <w:shd w:val="clear" w:color="auto" w:fill="auto"/>
            <w:noWrap/>
            <w:vAlign w:val="center"/>
            <w:hideMark/>
          </w:tcPr>
          <w:p w14:paraId="1346004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1.681,00</w:t>
            </w:r>
          </w:p>
        </w:tc>
        <w:tc>
          <w:tcPr>
            <w:tcW w:w="987" w:type="pct"/>
            <w:shd w:val="clear" w:color="auto" w:fill="auto"/>
            <w:noWrap/>
            <w:vAlign w:val="center"/>
            <w:hideMark/>
          </w:tcPr>
          <w:p w14:paraId="7F864CE1"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1.99</w:t>
            </w:r>
            <w:r w:rsidRPr="004A7D8B">
              <w:rPr>
                <w:rFonts w:eastAsia="Calibri" w:cs="Times New Roman"/>
                <w:sz w:val="20"/>
                <w:szCs w:val="20"/>
              </w:rPr>
              <w:t>3,39</w:t>
            </w:r>
          </w:p>
        </w:tc>
        <w:tc>
          <w:tcPr>
            <w:tcW w:w="1122" w:type="pct"/>
            <w:shd w:val="clear" w:color="auto" w:fill="auto"/>
            <w:noWrap/>
            <w:vAlign w:val="center"/>
            <w:hideMark/>
          </w:tcPr>
          <w:p w14:paraId="5E405BCE"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2.215,19</w:t>
            </w:r>
          </w:p>
        </w:tc>
        <w:tc>
          <w:tcPr>
            <w:tcW w:w="749" w:type="pct"/>
            <w:shd w:val="clear" w:color="auto" w:fill="auto"/>
            <w:noWrap/>
            <w:vAlign w:val="center"/>
            <w:hideMark/>
          </w:tcPr>
          <w:p w14:paraId="660EE8A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2.469,04</w:t>
            </w:r>
          </w:p>
        </w:tc>
        <w:tc>
          <w:tcPr>
            <w:tcW w:w="846" w:type="pct"/>
            <w:shd w:val="clear" w:color="auto" w:fill="auto"/>
            <w:noWrap/>
            <w:vAlign w:val="center"/>
            <w:hideMark/>
          </w:tcPr>
          <w:p w14:paraId="64FFD09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3.001,81</w:t>
            </w:r>
          </w:p>
        </w:tc>
      </w:tr>
      <w:tr w:rsidR="00CE71C7" w:rsidRPr="004A7D8B" w14:paraId="46DAFD54" w14:textId="77777777" w:rsidTr="006F6877">
        <w:trPr>
          <w:trHeight w:val="255"/>
        </w:trPr>
        <w:tc>
          <w:tcPr>
            <w:tcW w:w="338" w:type="pct"/>
            <w:shd w:val="clear" w:color="auto" w:fill="auto"/>
            <w:noWrap/>
            <w:vAlign w:val="center"/>
            <w:hideMark/>
          </w:tcPr>
          <w:p w14:paraId="3B372332"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2013</w:t>
            </w:r>
          </w:p>
        </w:tc>
        <w:tc>
          <w:tcPr>
            <w:tcW w:w="958" w:type="pct"/>
            <w:shd w:val="clear" w:color="auto" w:fill="auto"/>
            <w:noWrap/>
            <w:vAlign w:val="center"/>
            <w:hideMark/>
          </w:tcPr>
          <w:p w14:paraId="4D4E184B"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1.814,98</w:t>
            </w:r>
          </w:p>
        </w:tc>
        <w:tc>
          <w:tcPr>
            <w:tcW w:w="987" w:type="pct"/>
            <w:shd w:val="clear" w:color="auto" w:fill="auto"/>
            <w:noWrap/>
            <w:vAlign w:val="center"/>
            <w:hideMark/>
          </w:tcPr>
          <w:p w14:paraId="4806DB00"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2.15</w:t>
            </w:r>
            <w:r w:rsidRPr="004A7D8B">
              <w:rPr>
                <w:rFonts w:eastAsia="Calibri" w:cs="Times New Roman"/>
                <w:sz w:val="20"/>
                <w:szCs w:val="20"/>
              </w:rPr>
              <w:t>2,27</w:t>
            </w:r>
          </w:p>
        </w:tc>
        <w:tc>
          <w:tcPr>
            <w:tcW w:w="1122" w:type="pct"/>
            <w:shd w:val="clear" w:color="auto" w:fill="auto"/>
            <w:noWrap/>
            <w:vAlign w:val="center"/>
            <w:hideMark/>
          </w:tcPr>
          <w:p w14:paraId="4A0C5C1A"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2.391,75</w:t>
            </w:r>
          </w:p>
        </w:tc>
        <w:tc>
          <w:tcPr>
            <w:tcW w:w="749" w:type="pct"/>
            <w:shd w:val="clear" w:color="auto" w:fill="auto"/>
            <w:noWrap/>
            <w:vAlign w:val="center"/>
            <w:hideMark/>
          </w:tcPr>
          <w:p w14:paraId="573627C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2.665,82</w:t>
            </w:r>
          </w:p>
        </w:tc>
        <w:tc>
          <w:tcPr>
            <w:tcW w:w="846" w:type="pct"/>
            <w:shd w:val="clear" w:color="auto" w:fill="auto"/>
            <w:noWrap/>
            <w:vAlign w:val="center"/>
            <w:hideMark/>
          </w:tcPr>
          <w:p w14:paraId="53A0474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3.241,07</w:t>
            </w:r>
          </w:p>
        </w:tc>
      </w:tr>
      <w:tr w:rsidR="00CE71C7" w:rsidRPr="004A7D8B" w14:paraId="6BCD44F9" w14:textId="77777777" w:rsidTr="006F6877">
        <w:trPr>
          <w:trHeight w:val="255"/>
        </w:trPr>
        <w:tc>
          <w:tcPr>
            <w:tcW w:w="338" w:type="pct"/>
            <w:shd w:val="clear" w:color="auto" w:fill="auto"/>
            <w:noWrap/>
            <w:vAlign w:val="center"/>
            <w:hideMark/>
          </w:tcPr>
          <w:p w14:paraId="5A35627F"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2014</w:t>
            </w:r>
          </w:p>
        </w:tc>
        <w:tc>
          <w:tcPr>
            <w:tcW w:w="958" w:type="pct"/>
            <w:shd w:val="clear" w:color="auto" w:fill="auto"/>
            <w:noWrap/>
            <w:vAlign w:val="center"/>
            <w:hideMark/>
          </w:tcPr>
          <w:p w14:paraId="4D1079F4"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1.965,99</w:t>
            </w:r>
          </w:p>
        </w:tc>
        <w:tc>
          <w:tcPr>
            <w:tcW w:w="987" w:type="pct"/>
            <w:shd w:val="clear" w:color="auto" w:fill="auto"/>
            <w:noWrap/>
            <w:vAlign w:val="center"/>
            <w:hideMark/>
          </w:tcPr>
          <w:p w14:paraId="0C235AFD"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2.33</w:t>
            </w:r>
            <w:r w:rsidRPr="004A7D8B">
              <w:rPr>
                <w:rFonts w:eastAsia="Calibri" w:cs="Times New Roman"/>
                <w:sz w:val="20"/>
                <w:szCs w:val="20"/>
              </w:rPr>
              <w:t>1,35</w:t>
            </w:r>
          </w:p>
        </w:tc>
        <w:tc>
          <w:tcPr>
            <w:tcW w:w="1122" w:type="pct"/>
            <w:shd w:val="clear" w:color="auto" w:fill="auto"/>
            <w:noWrap/>
            <w:vAlign w:val="center"/>
            <w:hideMark/>
          </w:tcPr>
          <w:p w14:paraId="43664B1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2.590,75</w:t>
            </w:r>
          </w:p>
        </w:tc>
        <w:tc>
          <w:tcPr>
            <w:tcW w:w="749" w:type="pct"/>
            <w:shd w:val="clear" w:color="auto" w:fill="auto"/>
            <w:noWrap/>
            <w:vAlign w:val="center"/>
            <w:hideMark/>
          </w:tcPr>
          <w:p w14:paraId="465C8202"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2.887,62</w:t>
            </w:r>
          </w:p>
        </w:tc>
        <w:tc>
          <w:tcPr>
            <w:tcW w:w="846" w:type="pct"/>
            <w:shd w:val="clear" w:color="auto" w:fill="auto"/>
            <w:noWrap/>
            <w:vAlign w:val="center"/>
            <w:hideMark/>
          </w:tcPr>
          <w:p w14:paraId="65F464D6"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3.510,72</w:t>
            </w:r>
          </w:p>
        </w:tc>
      </w:tr>
      <w:tr w:rsidR="00CE71C7" w:rsidRPr="004A7D8B" w14:paraId="5D1A87E7" w14:textId="77777777" w:rsidTr="006F6877">
        <w:trPr>
          <w:trHeight w:val="255"/>
        </w:trPr>
        <w:tc>
          <w:tcPr>
            <w:tcW w:w="338" w:type="pct"/>
            <w:shd w:val="clear" w:color="auto" w:fill="auto"/>
            <w:noWrap/>
            <w:vAlign w:val="center"/>
            <w:hideMark/>
          </w:tcPr>
          <w:p w14:paraId="3CDBFF7D" w14:textId="77777777" w:rsidR="00CE71C7" w:rsidRPr="004A7D8B" w:rsidRDefault="00CE71C7"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2015</w:t>
            </w:r>
          </w:p>
        </w:tc>
        <w:tc>
          <w:tcPr>
            <w:tcW w:w="958" w:type="pct"/>
            <w:shd w:val="clear" w:color="auto" w:fill="auto"/>
            <w:noWrap/>
            <w:vAlign w:val="bottom"/>
            <w:hideMark/>
          </w:tcPr>
          <w:p w14:paraId="5EE54223"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2.221,75</w:t>
            </w:r>
          </w:p>
        </w:tc>
        <w:tc>
          <w:tcPr>
            <w:tcW w:w="987" w:type="pct"/>
            <w:shd w:val="clear" w:color="auto" w:fill="auto"/>
            <w:noWrap/>
            <w:vAlign w:val="bottom"/>
            <w:hideMark/>
          </w:tcPr>
          <w:p w14:paraId="1C272FDA" w14:textId="77777777" w:rsidR="00CE71C7" w:rsidRPr="004A7D8B" w:rsidRDefault="00CE71C7" w:rsidP="006F6877">
            <w:pPr>
              <w:ind w:right="283"/>
              <w:jc w:val="right"/>
              <w:rPr>
                <w:rFonts w:eastAsia="Calibri" w:cs="Times New Roman"/>
                <w:sz w:val="20"/>
                <w:szCs w:val="20"/>
              </w:rPr>
            </w:pPr>
            <w:r>
              <w:rPr>
                <w:rFonts w:eastAsia="Calibri" w:cs="Times New Roman"/>
                <w:sz w:val="20"/>
                <w:szCs w:val="20"/>
              </w:rPr>
              <w:t>2.63</w:t>
            </w:r>
            <w:r w:rsidRPr="004A7D8B">
              <w:rPr>
                <w:rFonts w:eastAsia="Calibri" w:cs="Times New Roman"/>
                <w:sz w:val="20"/>
                <w:szCs w:val="20"/>
              </w:rPr>
              <w:t>4,65</w:t>
            </w:r>
          </w:p>
        </w:tc>
        <w:tc>
          <w:tcPr>
            <w:tcW w:w="1122" w:type="pct"/>
            <w:shd w:val="clear" w:color="auto" w:fill="auto"/>
            <w:noWrap/>
            <w:vAlign w:val="center"/>
            <w:hideMark/>
          </w:tcPr>
          <w:p w14:paraId="266390B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2.927,82</w:t>
            </w:r>
          </w:p>
        </w:tc>
        <w:tc>
          <w:tcPr>
            <w:tcW w:w="749" w:type="pct"/>
            <w:shd w:val="clear" w:color="auto" w:fill="auto"/>
            <w:noWrap/>
            <w:vAlign w:val="center"/>
            <w:hideMark/>
          </w:tcPr>
          <w:p w14:paraId="54B2AF9D"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3.263,30</w:t>
            </w:r>
          </w:p>
        </w:tc>
        <w:tc>
          <w:tcPr>
            <w:tcW w:w="846" w:type="pct"/>
            <w:shd w:val="clear" w:color="auto" w:fill="auto"/>
            <w:noWrap/>
            <w:vAlign w:val="center"/>
            <w:hideMark/>
          </w:tcPr>
          <w:p w14:paraId="660807A7"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3.967,46</w:t>
            </w:r>
          </w:p>
        </w:tc>
      </w:tr>
      <w:tr w:rsidR="00CE71C7" w:rsidRPr="004A7D8B" w14:paraId="5ACF2EDE" w14:textId="77777777" w:rsidTr="006F6877">
        <w:trPr>
          <w:trHeight w:val="255"/>
        </w:trPr>
        <w:tc>
          <w:tcPr>
            <w:tcW w:w="338" w:type="pct"/>
            <w:tcBorders>
              <w:bottom w:val="single" w:sz="4" w:space="0" w:color="auto"/>
            </w:tcBorders>
            <w:shd w:val="clear" w:color="auto" w:fill="auto"/>
            <w:noWrap/>
            <w:vAlign w:val="center"/>
            <w:hideMark/>
          </w:tcPr>
          <w:p w14:paraId="5DDC9AE2" w14:textId="77777777" w:rsidR="00CE71C7" w:rsidRPr="004A7D8B" w:rsidRDefault="00CE71C7" w:rsidP="006F6877">
            <w:pPr>
              <w:jc w:val="center"/>
              <w:rPr>
                <w:rFonts w:eastAsia="Times New Roman" w:cs="Times New Roman"/>
                <w:bCs/>
                <w:color w:val="000000"/>
                <w:sz w:val="20"/>
                <w:szCs w:val="20"/>
                <w:lang w:eastAsia="pt-BR"/>
              </w:rPr>
            </w:pPr>
            <w:r w:rsidRPr="004A7D8B">
              <w:rPr>
                <w:rFonts w:eastAsia="Times New Roman" w:cs="Times New Roman"/>
                <w:bCs/>
                <w:color w:val="000000"/>
                <w:sz w:val="20"/>
                <w:szCs w:val="20"/>
                <w:lang w:eastAsia="pt-BR"/>
              </w:rPr>
              <w:t>2016</w:t>
            </w:r>
          </w:p>
        </w:tc>
        <w:tc>
          <w:tcPr>
            <w:tcW w:w="958" w:type="pct"/>
            <w:tcBorders>
              <w:bottom w:val="single" w:sz="4" w:space="0" w:color="auto"/>
            </w:tcBorders>
            <w:shd w:val="clear" w:color="auto" w:fill="auto"/>
            <w:noWrap/>
            <w:vAlign w:val="center"/>
            <w:hideMark/>
          </w:tcPr>
          <w:p w14:paraId="732EB48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2.474,14</w:t>
            </w:r>
          </w:p>
        </w:tc>
        <w:tc>
          <w:tcPr>
            <w:tcW w:w="987" w:type="pct"/>
            <w:tcBorders>
              <w:bottom w:val="single" w:sz="4" w:space="0" w:color="auto"/>
            </w:tcBorders>
            <w:shd w:val="clear" w:color="auto" w:fill="auto"/>
            <w:noWrap/>
            <w:vAlign w:val="center"/>
            <w:hideMark/>
          </w:tcPr>
          <w:p w14:paraId="61CFA1FC"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2.933,95</w:t>
            </w:r>
          </w:p>
        </w:tc>
        <w:tc>
          <w:tcPr>
            <w:tcW w:w="1122" w:type="pct"/>
            <w:tcBorders>
              <w:bottom w:val="single" w:sz="4" w:space="0" w:color="auto"/>
            </w:tcBorders>
            <w:shd w:val="clear" w:color="auto" w:fill="auto"/>
            <w:noWrap/>
            <w:vAlign w:val="center"/>
            <w:hideMark/>
          </w:tcPr>
          <w:p w14:paraId="75863AC1"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3.260,42</w:t>
            </w:r>
          </w:p>
        </w:tc>
        <w:tc>
          <w:tcPr>
            <w:tcW w:w="749" w:type="pct"/>
            <w:tcBorders>
              <w:bottom w:val="single" w:sz="4" w:space="0" w:color="auto"/>
            </w:tcBorders>
            <w:shd w:val="clear" w:color="auto" w:fill="auto"/>
            <w:noWrap/>
            <w:vAlign w:val="center"/>
            <w:hideMark/>
          </w:tcPr>
          <w:p w14:paraId="3988E1C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3.634,01</w:t>
            </w:r>
          </w:p>
        </w:tc>
        <w:tc>
          <w:tcPr>
            <w:tcW w:w="846" w:type="pct"/>
            <w:tcBorders>
              <w:bottom w:val="single" w:sz="4" w:space="0" w:color="auto"/>
            </w:tcBorders>
            <w:shd w:val="clear" w:color="auto" w:fill="auto"/>
            <w:noWrap/>
            <w:vAlign w:val="center"/>
            <w:hideMark/>
          </w:tcPr>
          <w:p w14:paraId="534A0C85" w14:textId="77777777" w:rsidR="00CE71C7" w:rsidRPr="004A7D8B" w:rsidRDefault="00CE71C7" w:rsidP="006F6877">
            <w:pPr>
              <w:ind w:right="283"/>
              <w:jc w:val="right"/>
              <w:rPr>
                <w:rFonts w:eastAsia="Calibri" w:cs="Times New Roman"/>
                <w:sz w:val="20"/>
                <w:szCs w:val="20"/>
              </w:rPr>
            </w:pPr>
            <w:r w:rsidRPr="004A7D8B">
              <w:rPr>
                <w:rFonts w:eastAsia="Calibri" w:cs="Times New Roman"/>
                <w:sz w:val="20"/>
                <w:szCs w:val="20"/>
              </w:rPr>
              <w:t>4.418,16</w:t>
            </w:r>
          </w:p>
        </w:tc>
      </w:tr>
    </w:tbl>
    <w:p w14:paraId="5945F1B5" w14:textId="77777777" w:rsidR="00CE71C7" w:rsidRPr="004A7D8B" w:rsidRDefault="00CE71C7" w:rsidP="00CE71C7">
      <w:pPr>
        <w:pStyle w:val="Fonte"/>
        <w:rPr>
          <w:rFonts w:cs="Times New Roman"/>
        </w:rPr>
      </w:pPr>
      <w:r w:rsidRPr="004A7D8B">
        <w:rPr>
          <w:rFonts w:cs="Times New Roman"/>
          <w:b/>
        </w:rPr>
        <w:t>Fonte:</w:t>
      </w:r>
      <w:r w:rsidRPr="004A7D8B">
        <w:rPr>
          <w:rFonts w:cs="Times New Roman"/>
        </w:rPr>
        <w:t xml:space="preserve"> Elaborado pela autora, a partir das tabelas de vencimentos dos Professores da </w:t>
      </w:r>
      <w:proofErr w:type="spellStart"/>
      <w:r w:rsidRPr="004A7D8B">
        <w:rPr>
          <w:rFonts w:cs="Times New Roman"/>
        </w:rPr>
        <w:t>Seduc</w:t>
      </w:r>
      <w:proofErr w:type="spellEnd"/>
      <w:r w:rsidRPr="004A7D8B">
        <w:rPr>
          <w:rFonts w:cs="Times New Roman"/>
        </w:rPr>
        <w:t>-PI</w:t>
      </w:r>
    </w:p>
    <w:p w14:paraId="6B569EA5" w14:textId="77777777" w:rsidR="00CE71C7" w:rsidRDefault="00CE71C7" w:rsidP="00CE71C7">
      <w:pPr>
        <w:pStyle w:val="PargrafodaLista"/>
        <w:ind w:firstLine="709"/>
        <w:rPr>
          <w:rFonts w:cs="Times New Roman"/>
        </w:rPr>
      </w:pPr>
      <w:r>
        <w:rPr>
          <w:rFonts w:cs="Times New Roman"/>
        </w:rPr>
        <w:t xml:space="preserve">Entre os dados analisados na Tabela </w:t>
      </w:r>
      <w:r w:rsidR="006B0CA2">
        <w:rPr>
          <w:rFonts w:cs="Times New Roman"/>
        </w:rPr>
        <w:t>1</w:t>
      </w:r>
      <w:r w:rsidRPr="004A7D8B">
        <w:rPr>
          <w:rFonts w:cs="Times New Roman"/>
        </w:rPr>
        <w:t xml:space="preserve">, verifica-se que, durante seis anos (1996 a 2001), os professores não tiveram nenhum reajuste salarial na carreira docente. Este congelamento ocasionou a desvalorização profissional </w:t>
      </w:r>
      <w:r>
        <w:rPr>
          <w:rFonts w:cs="Times New Roman"/>
        </w:rPr>
        <w:t xml:space="preserve">e a perda de poder aquisitivo. </w:t>
      </w:r>
      <w:r w:rsidRPr="004A7D8B">
        <w:rPr>
          <w:rFonts w:cs="Times New Roman"/>
        </w:rPr>
        <w:t>Como é possível perceber, em 1996, ano da regulamentação do Fundef, não houve reajuste e após sua implantação, em 1998 e nos anos subsequentes até 2001, o reajuste foi zero por cento. De</w:t>
      </w:r>
      <w:r>
        <w:rPr>
          <w:rFonts w:cs="Times New Roman"/>
        </w:rPr>
        <w:t xml:space="preserve"> acordo com a referida Tabela</w:t>
      </w:r>
      <w:r w:rsidRPr="004A7D8B">
        <w:rPr>
          <w:rFonts w:cs="Times New Roman"/>
        </w:rPr>
        <w:t xml:space="preserve">, o período de 1996 a 2001 apresenta valores constantes, correspondendo uma diferença de apenas R$ 128,98 entre o vencimento do professor com Doutorado </w:t>
      </w:r>
      <w:r>
        <w:rPr>
          <w:rFonts w:cs="Times New Roman"/>
        </w:rPr>
        <w:t>e</w:t>
      </w:r>
      <w:r w:rsidRPr="004A7D8B">
        <w:rPr>
          <w:rFonts w:cs="Times New Roman"/>
        </w:rPr>
        <w:t xml:space="preserve"> o professor com formação em Nível Médio.</w:t>
      </w:r>
    </w:p>
    <w:p w14:paraId="7510FD60" w14:textId="77777777" w:rsidR="00CE71C7" w:rsidRPr="004A7D8B" w:rsidRDefault="00CE71C7" w:rsidP="00CE71C7">
      <w:pPr>
        <w:pStyle w:val="PargrafodaLista"/>
        <w:ind w:firstLine="709"/>
        <w:rPr>
          <w:rFonts w:cs="Times New Roman"/>
        </w:rPr>
      </w:pPr>
      <w:r>
        <w:rPr>
          <w:rFonts w:cs="Times New Roman"/>
        </w:rPr>
        <w:lastRenderedPageBreak/>
        <w:t>Fin</w:t>
      </w:r>
      <w:r w:rsidRPr="004A7D8B">
        <w:rPr>
          <w:rFonts w:cs="Times New Roman"/>
        </w:rPr>
        <w:t>do o período de congelamento entre os anos de 1995 a 2001, os professores passaram a receber reajustes nos vencimentos salariais, a partir de 2002. O menor valor pago ao professor em 2002, com formação em nível Médio era R$ 302,18, pouco mais que um salário mínimo e meio. O maior vencimento, em 2002, foi concedido ao professor com Doutorado, mais de 2 s</w:t>
      </w:r>
      <w:r>
        <w:rPr>
          <w:rFonts w:cs="Times New Roman"/>
        </w:rPr>
        <w:t>alários</w:t>
      </w:r>
      <w:r w:rsidRPr="004A7D8B">
        <w:rPr>
          <w:rFonts w:cs="Times New Roman"/>
        </w:rPr>
        <w:t xml:space="preserve"> mínimos. </w:t>
      </w:r>
    </w:p>
    <w:p w14:paraId="27D53932" w14:textId="77777777" w:rsidR="00CE71C7" w:rsidRPr="004A7D8B" w:rsidRDefault="006B0CA2" w:rsidP="00CE71C7">
      <w:pPr>
        <w:pStyle w:val="PargrafodaLista"/>
        <w:rPr>
          <w:rFonts w:cs="Times New Roman"/>
        </w:rPr>
      </w:pPr>
      <w:r>
        <w:rPr>
          <w:rFonts w:cs="Times New Roman"/>
        </w:rPr>
        <w:t>A Tabela 1</w:t>
      </w:r>
      <w:r w:rsidR="00CE71C7" w:rsidRPr="004A7D8B">
        <w:rPr>
          <w:rFonts w:cs="Times New Roman"/>
        </w:rPr>
        <w:t xml:space="preserve"> revela que de 2002 a 2011, entre uma classe e outra, os professores receberam reajustes, porém, estes reajustes não ocorreram na mesma proporção, não obedeceram critérios típicos de uma carreira que obedece ao que consta no Plano de Cargo e Carreira.</w:t>
      </w:r>
    </w:p>
    <w:p w14:paraId="3A000D9A" w14:textId="64E1375D" w:rsidR="00CE71C7" w:rsidRPr="003C38B5" w:rsidRDefault="00CE71C7" w:rsidP="00CE71C7">
      <w:pPr>
        <w:pStyle w:val="PargrafodaLista"/>
      </w:pPr>
      <w:r>
        <w:rPr>
          <w:rFonts w:cs="Times New Roman"/>
        </w:rPr>
        <w:t>Os dados apresenta</w:t>
      </w:r>
      <w:r w:rsidR="006B0CA2">
        <w:rPr>
          <w:rFonts w:cs="Times New Roman"/>
        </w:rPr>
        <w:t>dos, na Tabela 1</w:t>
      </w:r>
      <w:r>
        <w:rPr>
          <w:rFonts w:cs="Times New Roman"/>
        </w:rPr>
        <w:t>, permitem observar q</w:t>
      </w:r>
      <w:r w:rsidRPr="004A7D8B">
        <w:rPr>
          <w:rFonts w:cs="Times New Roman"/>
        </w:rPr>
        <w:t xml:space="preserve">ue em 2003, ano da desvinculação dos itens de composição da remuneração (progressão, adicional por tempo de serviço e regência), o professor com formação em nível </w:t>
      </w:r>
      <w:r w:rsidRPr="0041202A">
        <w:rPr>
          <w:rFonts w:cs="Times New Roman"/>
        </w:rPr>
        <w:t>Médio</w:t>
      </w:r>
      <w:r w:rsidR="00FA3B1E" w:rsidRPr="0041202A">
        <w:rPr>
          <w:rFonts w:cs="Times New Roman"/>
        </w:rPr>
        <w:t xml:space="preserve"> </w:t>
      </w:r>
      <w:r w:rsidR="00300B91" w:rsidRPr="0041202A">
        <w:rPr>
          <w:rFonts w:cs="Times New Roman"/>
        </w:rPr>
        <w:t>recebia</w:t>
      </w:r>
      <w:r w:rsidRPr="0041202A">
        <w:rPr>
          <w:rFonts w:cs="Times New Roman"/>
        </w:rPr>
        <w:t xml:space="preserve"> pouco mais que um salário mínimo (R$ 376,63), enquanto que o professor com Doutorado </w:t>
      </w:r>
      <w:r w:rsidR="00300B91" w:rsidRPr="0041202A">
        <w:rPr>
          <w:rFonts w:cs="Times New Roman"/>
        </w:rPr>
        <w:t xml:space="preserve">recebia </w:t>
      </w:r>
      <w:r w:rsidRPr="0041202A">
        <w:rPr>
          <w:rFonts w:cs="Times New Roman"/>
        </w:rPr>
        <w:t xml:space="preserve">um vencimento de pouco mais que dois salários mínimos (R$ 488,92). A partir do referido ano, as gratificações </w:t>
      </w:r>
      <w:r w:rsidR="00300B91" w:rsidRPr="0041202A">
        <w:rPr>
          <w:rFonts w:cs="Times New Roman"/>
        </w:rPr>
        <w:t xml:space="preserve">foram congeladas e não mais vinculadas ao vencimento. </w:t>
      </w:r>
      <w:r w:rsidRPr="0041202A">
        <w:rPr>
          <w:rFonts w:cs="Times New Roman"/>
        </w:rPr>
        <w:t>Segundo Marina Soares (2016, p, 46), essa desvinculação aponta para a intenção do Governo para com os profissionais</w:t>
      </w:r>
      <w:r w:rsidR="00FA3B1E" w:rsidRPr="0041202A">
        <w:rPr>
          <w:rFonts w:cs="Times New Roman"/>
        </w:rPr>
        <w:t xml:space="preserve"> da educação, demonstrando que “</w:t>
      </w:r>
      <w:r w:rsidRPr="0041202A">
        <w:rPr>
          <w:rFonts w:cs="Times New Roman"/>
        </w:rPr>
        <w:t>conquistas de longos anos de lutas deixaram de existir”. Desse modo, é possível inferir que tal freio através da desvinculação dos itens de composição da remuneração, em 2003, esteja ligado à Lei de Responsabilidade Fiscal</w:t>
      </w:r>
      <w:r w:rsidRPr="0041202A">
        <w:rPr>
          <w:rStyle w:val="Refdenotaderodap"/>
          <w:rFonts w:cs="Times New Roman"/>
        </w:rPr>
        <w:footnoteReference w:id="4"/>
      </w:r>
      <w:r w:rsidRPr="0041202A">
        <w:rPr>
          <w:rFonts w:cs="Times New Roman"/>
        </w:rPr>
        <w:t xml:space="preserve"> </w:t>
      </w:r>
      <w:r w:rsidR="003C38B5">
        <w:rPr>
          <w:rFonts w:cs="Times New Roman"/>
        </w:rPr>
        <w:t>aprovada ainda em maio de 2000</w:t>
      </w:r>
      <w:proofErr w:type="gramStart"/>
      <w:r w:rsidR="003C38B5">
        <w:rPr>
          <w:rFonts w:cs="Times New Roman"/>
        </w:rPr>
        <w:t xml:space="preserve">, </w:t>
      </w:r>
      <w:r w:rsidR="003C38B5">
        <w:t>,</w:t>
      </w:r>
      <w:proofErr w:type="gramEnd"/>
      <w:r w:rsidR="003C38B5">
        <w:t xml:space="preserve"> além das prioridades do gestor público.</w:t>
      </w:r>
      <w:r w:rsidR="003C38B5" w:rsidRPr="008005BB">
        <w:t xml:space="preserve"> </w:t>
      </w:r>
      <w:r w:rsidRPr="0041202A">
        <w:rPr>
          <w:rFonts w:cs="Times New Roman"/>
        </w:rPr>
        <w:t xml:space="preserve"> </w:t>
      </w:r>
    </w:p>
    <w:p w14:paraId="2F16B000" w14:textId="0EAC4475" w:rsidR="00CE71C7" w:rsidRPr="0041202A" w:rsidRDefault="00CE71C7" w:rsidP="00CE71C7">
      <w:pPr>
        <w:pStyle w:val="PargrafodaLista"/>
        <w:rPr>
          <w:rFonts w:cs="Times New Roman"/>
        </w:rPr>
      </w:pPr>
      <w:r w:rsidRPr="004A7D8B">
        <w:rPr>
          <w:rFonts w:cs="Times New Roman"/>
        </w:rPr>
        <w:t>Em 2006, ano que marca fim da vigência do Fundef, o vencimento do professor com Doutorado ultrapassa a R$ 128,98</w:t>
      </w:r>
      <w:r>
        <w:rPr>
          <w:rFonts w:cs="Times New Roman"/>
        </w:rPr>
        <w:t xml:space="preserve"> </w:t>
      </w:r>
      <w:r w:rsidRPr="004A7D8B">
        <w:rPr>
          <w:rFonts w:cs="Times New Roman"/>
        </w:rPr>
        <w:t xml:space="preserve">do vencimento percebido pelo professor com formação em nível Médio, que por sua vez, recebia um vencimento de </w:t>
      </w:r>
      <w:r w:rsidRPr="0041202A">
        <w:rPr>
          <w:rFonts w:cs="Times New Roman"/>
        </w:rPr>
        <w:t xml:space="preserve">dois </w:t>
      </w:r>
      <w:r w:rsidR="003B34BF" w:rsidRPr="0041202A">
        <w:rPr>
          <w:rFonts w:cs="Times New Roman"/>
        </w:rPr>
        <w:t xml:space="preserve">salários </w:t>
      </w:r>
      <w:r w:rsidRPr="0041202A">
        <w:rPr>
          <w:rFonts w:cs="Times New Roman"/>
        </w:rPr>
        <w:t xml:space="preserve">mínimos (R$ 700,00). O ano de 2006 foi marcado por mudanças no Estatuto do Magistério de 1988 que se efetivaram a partir da Lei Complementar nº 71, de 26 de julho de 2006. </w:t>
      </w:r>
    </w:p>
    <w:p w14:paraId="608BC63D" w14:textId="6428620A" w:rsidR="00CE71C7" w:rsidRPr="009C788E" w:rsidRDefault="00CE71C7" w:rsidP="00CE71C7">
      <w:pPr>
        <w:pStyle w:val="PargrafodaLista"/>
        <w:rPr>
          <w:b/>
          <w:spacing w:val="-15"/>
          <w:kern w:val="36"/>
        </w:rPr>
      </w:pPr>
      <w:r w:rsidRPr="0041202A">
        <w:lastRenderedPageBreak/>
        <w:t xml:space="preserve">A análise que segue toma por base o período de 2006 a 2010. </w:t>
      </w:r>
      <w:r w:rsidR="00042654" w:rsidRPr="0041202A">
        <w:t xml:space="preserve">O início do recorte temporal (2006) marca </w:t>
      </w:r>
      <w:r w:rsidRPr="0041202A">
        <w:t xml:space="preserve">o fim da vigência do Fundef e a mudança no Estatuto </w:t>
      </w:r>
      <w:r>
        <w:t>do M</w:t>
      </w:r>
      <w:r w:rsidRPr="009C788E">
        <w:t xml:space="preserve">agistério de 1988, com a implantação da Lei Complementar nº 71, de 26 de julho de 2006. Em 2007, foi o ano do início do </w:t>
      </w:r>
      <w:proofErr w:type="spellStart"/>
      <w:r w:rsidRPr="009C788E">
        <w:t>Fundeb</w:t>
      </w:r>
      <w:proofErr w:type="spellEnd"/>
      <w:r w:rsidRPr="009C788E">
        <w:t xml:space="preserve"> e das discussões em torno do Piso Salarial Profissional Nacional</w:t>
      </w:r>
      <w:r w:rsidRPr="009C788E">
        <w:rPr>
          <w:spacing w:val="-15"/>
          <w:kern w:val="36"/>
        </w:rPr>
        <w:t xml:space="preserve"> </w:t>
      </w:r>
      <w:r w:rsidRPr="009C788E">
        <w:t>para os profissionais do magistério público da educação básica</w:t>
      </w:r>
      <w:r w:rsidRPr="009C788E">
        <w:rPr>
          <w:spacing w:val="-15"/>
          <w:kern w:val="36"/>
        </w:rPr>
        <w:t xml:space="preserve"> - Lei nº 11.738, de 16/07/2008.</w:t>
      </w:r>
    </w:p>
    <w:p w14:paraId="6D410E77" w14:textId="25D62C63" w:rsidR="00CE71C7" w:rsidRPr="0041202A" w:rsidRDefault="006B0CA2" w:rsidP="00CE71C7">
      <w:pPr>
        <w:pStyle w:val="PargrafodaLista"/>
        <w:rPr>
          <w:b/>
        </w:rPr>
      </w:pPr>
      <w:r>
        <w:t>A Tabela 1</w:t>
      </w:r>
      <w:r w:rsidR="00CE71C7" w:rsidRPr="009C788E">
        <w:t xml:space="preserve"> revela que o vencimento do </w:t>
      </w:r>
      <w:r w:rsidR="00CE71C7" w:rsidRPr="0041202A">
        <w:t xml:space="preserve">professor com Doutorado da Rede Pública Estadual de Ensino do Piauí, em 2007 recebeu </w:t>
      </w:r>
      <w:r w:rsidR="00042654" w:rsidRPr="0041202A">
        <w:t>elevado</w:t>
      </w:r>
      <w:r w:rsidR="00CE71C7" w:rsidRPr="0041202A">
        <w:t xml:space="preserve"> no seu vencimento salarial, saindo de R$ 828,98, em 2006, para R$ 1.700,00, ficando bem acima das demais classes ou titulação.</w:t>
      </w:r>
    </w:p>
    <w:p w14:paraId="73D4D22E" w14:textId="67631390" w:rsidR="00CE71C7" w:rsidRPr="0041202A" w:rsidRDefault="00CE71C7" w:rsidP="00CE71C7">
      <w:pPr>
        <w:pStyle w:val="PargrafodaLista"/>
        <w:rPr>
          <w:b/>
        </w:rPr>
      </w:pPr>
      <w:r w:rsidRPr="0041202A">
        <w:t xml:space="preserve">No ano de 2008, </w:t>
      </w:r>
      <w:r w:rsidR="005E1577" w:rsidRPr="0041202A">
        <w:t xml:space="preserve">ano da aprovação da Lei do Piso Salarial Profissional Nacional para os Profissionais do Magistério Público da Educação Básica, </w:t>
      </w:r>
      <w:r w:rsidRPr="0041202A">
        <w:t>o professor com formação em nível Médio</w:t>
      </w:r>
      <w:r w:rsidR="0041202A" w:rsidRPr="0041202A">
        <w:t xml:space="preserve"> </w:t>
      </w:r>
      <w:r w:rsidR="005E1577" w:rsidRPr="0041202A">
        <w:t xml:space="preserve">recebia </w:t>
      </w:r>
      <w:r w:rsidRPr="0041202A">
        <w:t xml:space="preserve">um vencimento de R$ 840,00, que </w:t>
      </w:r>
      <w:r w:rsidR="00447EE6" w:rsidRPr="0041202A">
        <w:t xml:space="preserve">à época estava </w:t>
      </w:r>
      <w:r w:rsidRPr="0041202A">
        <w:t xml:space="preserve">ficou abaixo do valor estabelecido pela Lei do Piso Salarial Nacional (R$ 950,00). </w:t>
      </w:r>
    </w:p>
    <w:p w14:paraId="46901EBB" w14:textId="089FCB59" w:rsidR="00CE71C7" w:rsidRPr="0041202A" w:rsidRDefault="00CE71C7" w:rsidP="00CE71C7">
      <w:pPr>
        <w:pStyle w:val="PargrafodaLista"/>
        <w:rPr>
          <w:b/>
        </w:rPr>
      </w:pPr>
      <w:r w:rsidRPr="009C788E">
        <w:t xml:space="preserve">Em 2009, ainda que não tenha sido reajustado o valor do Piso, pois a Lei do Piso encontrava-se </w:t>
      </w:r>
      <w:r w:rsidRPr="009C788E">
        <w:rPr>
          <w:i/>
        </w:rPr>
        <w:t>sub judice</w:t>
      </w:r>
      <w:r w:rsidRPr="009C788E">
        <w:t xml:space="preserve"> no STF, o Governo do Piauí reajustou o vencimento salarial do professor para R$ 930,00, ficando R$ 20,00 a menos que o valor do Piso Salarial Profissional Nacional para os Profissionais do Magistério Público da Educação Básica, afixado em R$ 950,00 para o </w:t>
      </w:r>
      <w:r w:rsidRPr="0041202A">
        <w:t xml:space="preserve">professor que possuía formação em nível Médio. Nesse ano os professores fizeram uma greve </w:t>
      </w:r>
      <w:r w:rsidR="00447EE6" w:rsidRPr="0041202A">
        <w:t xml:space="preserve">de </w:t>
      </w:r>
      <w:r w:rsidRPr="0041202A">
        <w:t>9 dias</w:t>
      </w:r>
      <w:r w:rsidR="00447EE6" w:rsidRPr="0041202A">
        <w:t xml:space="preserve"> para que o reajuste acompanhasse o estabelecido pela Lei do Piso para aquele ano. </w:t>
      </w:r>
      <w:r w:rsidRPr="0041202A">
        <w:t xml:space="preserve"> </w:t>
      </w:r>
      <w:r w:rsidR="00447EE6" w:rsidRPr="0041202A">
        <w:t xml:space="preserve">No entanto, </w:t>
      </w:r>
      <w:r w:rsidRPr="0041202A">
        <w:t>foi somente em 2010 que o vencimento do professor foi reajustado,</w:t>
      </w:r>
      <w:r w:rsidR="006A2047">
        <w:t xml:space="preserve"> conforme estabelecia</w:t>
      </w:r>
      <w:r w:rsidRPr="0041202A">
        <w:t xml:space="preserve"> a Lei do Piso.</w:t>
      </w:r>
    </w:p>
    <w:p w14:paraId="21F7B4B1" w14:textId="307A82DD" w:rsidR="00CE71C7" w:rsidRPr="0041202A" w:rsidRDefault="00CE71C7" w:rsidP="00CE71C7">
      <w:pPr>
        <w:pStyle w:val="PargrafodaLista"/>
        <w:rPr>
          <w:b/>
        </w:rPr>
      </w:pPr>
      <w:r w:rsidRPr="0041202A">
        <w:t xml:space="preserve">Em 2010, o vencimento Salarial do Professor da Rede Pública Estadual de Ensino do Piauí, com Nível Médio (40h) era de R$ 1.024,68, um centavo a mais </w:t>
      </w:r>
      <w:r w:rsidR="00447EE6" w:rsidRPr="0041202A">
        <w:t xml:space="preserve">que o valor estabelecido pela Lei do </w:t>
      </w:r>
      <w:r w:rsidRPr="0041202A">
        <w:t xml:space="preserve">Piso </w:t>
      </w:r>
      <w:r w:rsidR="00447EE6" w:rsidRPr="0041202A">
        <w:t>(</w:t>
      </w:r>
      <w:r w:rsidRPr="0041202A">
        <w:t>R$ 1.024,67</w:t>
      </w:r>
      <w:r w:rsidR="00447EE6" w:rsidRPr="0041202A">
        <w:t>)</w:t>
      </w:r>
      <w:r w:rsidRPr="0041202A">
        <w:t xml:space="preserve">. </w:t>
      </w:r>
      <w:r w:rsidR="006F6877" w:rsidRPr="0041202A">
        <w:t>Vale destacar que, neste ano,</w:t>
      </w:r>
      <w:r w:rsidRPr="0041202A">
        <w:t xml:space="preserve"> o Plano de carreira do professor</w:t>
      </w:r>
      <w:r w:rsidR="006F6877" w:rsidRPr="0041202A">
        <w:t xml:space="preserve"> da</w:t>
      </w:r>
      <w:r w:rsidRPr="0041202A">
        <w:t xml:space="preserve"> Rede Pública Estadual de Ensino do Piauí passou por reformulação, a qual será apresentada </w:t>
      </w:r>
      <w:r w:rsidR="00FA3B1E" w:rsidRPr="0041202A">
        <w:t>a seguir:</w:t>
      </w:r>
    </w:p>
    <w:p w14:paraId="6CC15A3C" w14:textId="6D04E208" w:rsidR="00CE71C7" w:rsidRPr="0041202A" w:rsidRDefault="00CE71C7" w:rsidP="00CE71C7">
      <w:pPr>
        <w:pStyle w:val="PargrafodaLista"/>
        <w:rPr>
          <w:b/>
        </w:rPr>
      </w:pPr>
      <w:r w:rsidRPr="0041202A">
        <w:t xml:space="preserve">Ao Analisar a Tabela </w:t>
      </w:r>
      <w:r w:rsidR="006B0CA2" w:rsidRPr="0041202A">
        <w:t>1</w:t>
      </w:r>
      <w:r w:rsidRPr="0041202A">
        <w:t>, verifica-se que, entre os anos de 2010 e 2012, os maiores vencimentos foram pagos ao</w:t>
      </w:r>
      <w:r w:rsidR="006F6877" w:rsidRPr="0041202A">
        <w:t>s</w:t>
      </w:r>
      <w:r w:rsidRPr="0041202A">
        <w:t xml:space="preserve"> professor</w:t>
      </w:r>
      <w:r w:rsidR="006F6877" w:rsidRPr="0041202A">
        <w:t>es</w:t>
      </w:r>
      <w:r w:rsidRPr="0041202A">
        <w:t xml:space="preserve"> com Doutorado, R$ 2.080,77 em 2010; R$ 2.243,17, em 2011 e R$ 3.001,81, em 2012. </w:t>
      </w:r>
      <w:r w:rsidR="00247345" w:rsidRPr="0041202A">
        <w:t xml:space="preserve">Vale destacar que os reajustes estabelecidos pela Lei do Piso foram repassados aos professores. </w:t>
      </w:r>
    </w:p>
    <w:p w14:paraId="66289BFC" w14:textId="4D70FF85" w:rsidR="00CE71C7" w:rsidRPr="003A35DE" w:rsidRDefault="00CE71C7" w:rsidP="00CE71C7">
      <w:pPr>
        <w:pStyle w:val="PargrafodaLista"/>
      </w:pPr>
      <w:r w:rsidRPr="009C788E">
        <w:lastRenderedPageBreak/>
        <w:t>A partir de 2012, os professores passaram a receber vencimentos acima do valor do Pis</w:t>
      </w:r>
      <w:r w:rsidR="003A35DE">
        <w:t xml:space="preserve">o, em função das incorporações. </w:t>
      </w:r>
      <w:r w:rsidRPr="004A7D8B">
        <w:rPr>
          <w:rFonts w:cs="Times New Roman"/>
        </w:rPr>
        <w:t xml:space="preserve">Verifica-se que, em 2012, o Governo do Piauí cumpriu a Lei do Piso. Em 2013, ao elevar o vencimento de R$ 1.567,00 para R$ 1.814,98, ultrapassa mais uma vez o valor estabelecido pela Lei do Piso. Ressalta-se que, neste mesmo ano, o vencimento do professor com Doutorado chega a R$ 3.241,07, como observado na tabela 1, apresentando uma diferença de R$ 1.426,09 em relação ao vencimento do professor de Nível Médio.   </w:t>
      </w:r>
    </w:p>
    <w:p w14:paraId="3EF5051D" w14:textId="77777777" w:rsidR="00CE71C7" w:rsidRPr="004A7D8B" w:rsidRDefault="00CE71C7" w:rsidP="00CE71C7">
      <w:pPr>
        <w:pStyle w:val="PargrafodaLista"/>
        <w:rPr>
          <w:rFonts w:cs="Times New Roman"/>
        </w:rPr>
      </w:pPr>
      <w:r w:rsidRPr="004A7D8B">
        <w:rPr>
          <w:rFonts w:cs="Times New Roman"/>
        </w:rPr>
        <w:t xml:space="preserve">Em 2014, o vencimento básico pago ao professor de formação em nível Médio foi de R$ 1.965,98. Neste ano, o valor do Piso equivalia a R$ 1.697,39. </w:t>
      </w:r>
      <w:r>
        <w:rPr>
          <w:rFonts w:cs="Times New Roman"/>
        </w:rPr>
        <w:t>E</w:t>
      </w:r>
      <w:r w:rsidRPr="004A7D8B">
        <w:rPr>
          <w:rFonts w:cs="Times New Roman"/>
        </w:rPr>
        <w:t xml:space="preserve">m 2015, o Governo do Piauí pagou como vencimento ao Professor em Nível Médio </w:t>
      </w:r>
      <w:r>
        <w:rPr>
          <w:rFonts w:cs="Times New Roman"/>
        </w:rPr>
        <w:t xml:space="preserve">o valor </w:t>
      </w:r>
      <w:r w:rsidRPr="004A7D8B">
        <w:rPr>
          <w:rFonts w:cs="Times New Roman"/>
        </w:rPr>
        <w:t xml:space="preserve">de R$ 2.221,75. O valor do Piso Salarial Profissional Nacional para os Profissionais do Magistério Público da Educação Básica foi fixado em R$ 1.917,78. Ainda em 2015, o professor com Doutorado teve como vencimento salarial, R$ 3.967.46, diferença de R$ 1.745.71 em relação ao professor com nível médio.  </w:t>
      </w:r>
    </w:p>
    <w:p w14:paraId="58D1F8F5" w14:textId="77777777" w:rsidR="00CE71C7" w:rsidRPr="004A7D8B" w:rsidRDefault="00CE71C7" w:rsidP="00CE71C7">
      <w:pPr>
        <w:pStyle w:val="PargrafodaLista"/>
        <w:rPr>
          <w:rFonts w:cs="Times New Roman"/>
        </w:rPr>
      </w:pPr>
      <w:r w:rsidRPr="004A7D8B">
        <w:rPr>
          <w:rFonts w:cs="Times New Roman"/>
        </w:rPr>
        <w:t>Em 2016, o valor do vencimento do professor de Nível Médio (2.474,14) supera o valor do Piso Salarial Profissional Nacional para os Profissionais do Magistério Público da Educação Básica que foi fixado em R$ 2.135,00. O valor destinado ao professor com Doutorado em 2016 chega a R$ 4.418,16, diferenciando-se do valor recebido pelo professor em nível Médio, que era de R$ 1.944,02.</w:t>
      </w:r>
    </w:p>
    <w:p w14:paraId="0A48BD87" w14:textId="77777777" w:rsidR="00CE71C7" w:rsidRPr="004A7D8B" w:rsidRDefault="00CE71C7" w:rsidP="00CE71C7">
      <w:pPr>
        <w:pStyle w:val="PargrafodaLista"/>
        <w:rPr>
          <w:rFonts w:cs="Times New Roman"/>
        </w:rPr>
      </w:pPr>
      <w:r w:rsidRPr="004974D7">
        <w:rPr>
          <w:rFonts w:cs="Times New Roman"/>
        </w:rPr>
        <w:t xml:space="preserve">Vale lembrar </w:t>
      </w:r>
      <w:r w:rsidRPr="004A7D8B">
        <w:rPr>
          <w:rFonts w:cs="Times New Roman"/>
        </w:rPr>
        <w:t xml:space="preserve">que toda gratificação concedida aos professores da Rede Pública Estadual de Ensino do Piauí, através da Lei do Estatuto do Magistério em 1988, foi incorporada ao vencimento de 2007 a 2012. </w:t>
      </w:r>
    </w:p>
    <w:p w14:paraId="239B9473" w14:textId="27F7B839" w:rsidR="00CE71C7" w:rsidRPr="009A5C1F" w:rsidRDefault="00CE71C7" w:rsidP="00CE71C7">
      <w:pPr>
        <w:pStyle w:val="PargrafodaLista"/>
        <w:rPr>
          <w:rFonts w:cs="Times New Roman"/>
        </w:rPr>
      </w:pPr>
      <w:r w:rsidRPr="004A7D8B">
        <w:rPr>
          <w:rFonts w:cs="Times New Roman"/>
        </w:rPr>
        <w:t xml:space="preserve">A Rede Pública Estadual de Ensino do Piauí, através das Lei ordinária nº 6.215/2012, reajustou o Piso Salarial dos </w:t>
      </w:r>
      <w:r>
        <w:rPr>
          <w:rFonts w:cs="Times New Roman"/>
        </w:rPr>
        <w:t>professores de ‘</w:t>
      </w:r>
      <w:r w:rsidRPr="009A55AA">
        <w:rPr>
          <w:rFonts w:cs="Times New Roman"/>
          <w:b/>
        </w:rPr>
        <w:t>A</w:t>
      </w:r>
      <w:r>
        <w:rPr>
          <w:rFonts w:cs="Times New Roman"/>
        </w:rPr>
        <w:t>’ a ‘</w:t>
      </w:r>
      <w:r w:rsidRPr="009A55AA">
        <w:rPr>
          <w:rFonts w:cs="Times New Roman"/>
          <w:b/>
        </w:rPr>
        <w:t>SL</w:t>
      </w:r>
      <w:r>
        <w:rPr>
          <w:rFonts w:cs="Times New Roman"/>
        </w:rPr>
        <w:t xml:space="preserve">’ em 8%, </w:t>
      </w:r>
      <w:r w:rsidRPr="004A7D8B">
        <w:rPr>
          <w:rFonts w:cs="Times New Roman"/>
        </w:rPr>
        <w:t xml:space="preserve">com efeito retroativo a janeiro/2012 e para as demais classes, concedeu o mesmo percentual a partir de maio/2012. </w:t>
      </w:r>
      <w:r w:rsidR="004974D7">
        <w:rPr>
          <w:rFonts w:cs="Times New Roman"/>
        </w:rPr>
        <w:t>T</w:t>
      </w:r>
      <w:r w:rsidRPr="004A7D8B">
        <w:rPr>
          <w:rFonts w:cs="Times New Roman"/>
        </w:rPr>
        <w:t xml:space="preserve">al reajuste tomou como base a Lei do Piso Salarial Profissional Nacional para os Profissionais do Magistério Público da Educação Básica. </w:t>
      </w:r>
      <w:r w:rsidRPr="009A5C1F">
        <w:rPr>
          <w:rFonts w:cs="Times New Roman"/>
        </w:rPr>
        <w:t>Esse período foi muito conturbado, muitos acordos firmados não fora cumprido.</w:t>
      </w:r>
    </w:p>
    <w:p w14:paraId="229AC04B" w14:textId="77777777" w:rsidR="00CE71C7" w:rsidRDefault="00CE71C7" w:rsidP="00CE71C7">
      <w:pPr>
        <w:pStyle w:val="PargrafodaLista"/>
        <w:rPr>
          <w:rFonts w:cs="Times New Roman"/>
        </w:rPr>
      </w:pPr>
      <w:r w:rsidRPr="004A7D8B">
        <w:rPr>
          <w:rFonts w:cs="Times New Roman"/>
        </w:rPr>
        <w:t xml:space="preserve">Outra Lei que merece destaque é a Lei nº 6.239/2012, que surge após 90 dias de greve. Essa Lei reajustou o Piso Salarial Profissional Nacional para os Profissionais do Magistério Público da Educação Básica até integralizar o percentual de 22,23%, sendo 10% em junho, 12% em agosto e o restante foi concedido em outubro de 2012. As </w:t>
      </w:r>
      <w:r w:rsidRPr="004A7D8B">
        <w:rPr>
          <w:rFonts w:cs="Times New Roman"/>
        </w:rPr>
        <w:lastRenderedPageBreak/>
        <w:t>referidas leis (Lei nº 6.215/20 12 e Lei nº 6.239/2012) incorpor</w:t>
      </w:r>
      <w:r>
        <w:rPr>
          <w:rFonts w:cs="Times New Roman"/>
        </w:rPr>
        <w:t xml:space="preserve">am a gratificação de regência. Em </w:t>
      </w:r>
      <w:r w:rsidRPr="004A7D8B">
        <w:rPr>
          <w:rFonts w:cs="Times New Roman"/>
        </w:rPr>
        <w:t xml:space="preserve">outras palavras, o governo pagou o valor do Piso de forma parcelada ao longo do ano. </w:t>
      </w:r>
      <w:r>
        <w:rPr>
          <w:rFonts w:cs="Times New Roman"/>
        </w:rPr>
        <w:t xml:space="preserve"> </w:t>
      </w:r>
      <w:r w:rsidRPr="00C57F4C">
        <w:rPr>
          <w:rFonts w:cs="Times New Roman"/>
        </w:rPr>
        <w:t xml:space="preserve">Embora viesse pagando o valor do Piso, não significa que o Governo acompanhe e respeite a referida Lei.   </w:t>
      </w:r>
    </w:p>
    <w:p w14:paraId="25CFBFC9" w14:textId="77777777" w:rsidR="006B0CA2" w:rsidRPr="004A7D8B" w:rsidRDefault="003C2EEA" w:rsidP="003C2EEA">
      <w:pPr>
        <w:pStyle w:val="PargrafodaLista"/>
        <w:rPr>
          <w:rFonts w:cs="Times New Roman"/>
        </w:rPr>
      </w:pPr>
      <w:r w:rsidRPr="004A7D8B">
        <w:rPr>
          <w:rFonts w:cs="Times New Roman"/>
        </w:rPr>
        <w:t>O próximo item mostra a realidade do vencimento salarial do professor da Rede Pública Estadual de Ensino do Piauí, comparando-o com à titulação adquirida após formação profissional.</w:t>
      </w:r>
    </w:p>
    <w:p w14:paraId="2DFD40E3" w14:textId="77777777" w:rsidR="006B0CA2" w:rsidRPr="006B0CA2" w:rsidRDefault="003C2EEA" w:rsidP="006B0CA2">
      <w:pPr>
        <w:pStyle w:val="Ttulo2"/>
        <w:ind w:left="0"/>
        <w:jc w:val="both"/>
      </w:pPr>
      <w:bookmarkStart w:id="6" w:name="_Toc463359021"/>
      <w:bookmarkStart w:id="7" w:name="_Toc466208088"/>
      <w:bookmarkStart w:id="8" w:name="_Toc469653142"/>
      <w:r w:rsidRPr="004A7D8B">
        <w:t>Vencim</w:t>
      </w:r>
      <w:r>
        <w:t>ento e titulação no m</w:t>
      </w:r>
      <w:r w:rsidRPr="004A7D8B">
        <w:t>agistério piauiense: estímulo à formação?</w:t>
      </w:r>
      <w:bookmarkEnd w:id="6"/>
      <w:bookmarkEnd w:id="7"/>
      <w:bookmarkEnd w:id="8"/>
    </w:p>
    <w:p w14:paraId="733F751F" w14:textId="647D171A" w:rsidR="00B04D32" w:rsidRPr="004A7D8B" w:rsidRDefault="006B0CA2" w:rsidP="003C2EEA">
      <w:pPr>
        <w:pStyle w:val="PargrafodaLista"/>
        <w:rPr>
          <w:rFonts w:cs="Times New Roman"/>
          <w:noProof/>
          <w:lang w:eastAsia="pt-BR"/>
        </w:rPr>
      </w:pPr>
      <w:r>
        <w:rPr>
          <w:rFonts w:cs="Times New Roman"/>
          <w:noProof/>
          <w:lang w:eastAsia="pt-BR"/>
        </w:rPr>
        <w:t>A seguir, a Tabela 2</w:t>
      </w:r>
      <w:r w:rsidR="003C2EEA" w:rsidRPr="004A7D8B">
        <w:rPr>
          <w:rFonts w:cs="Times New Roman"/>
          <w:noProof/>
          <w:lang w:eastAsia="pt-BR"/>
        </w:rPr>
        <w:t xml:space="preserve"> apresenta a diferença percentual entre os níveis de formação (titulações), observando como variou o vencimento dos professores da Seduc em termos percentuais em relação à sua formação no período de 1996 </w:t>
      </w:r>
      <w:r w:rsidR="003C2EEA">
        <w:rPr>
          <w:rFonts w:cs="Times New Roman"/>
          <w:noProof/>
          <w:lang w:eastAsia="pt-BR"/>
        </w:rPr>
        <w:t>a 2016.</w:t>
      </w:r>
    </w:p>
    <w:p w14:paraId="40B22FF8" w14:textId="77777777" w:rsidR="003C2EEA" w:rsidRPr="004A7D8B" w:rsidRDefault="003C2EEA" w:rsidP="003C2EEA">
      <w:pPr>
        <w:pStyle w:val="Legenda"/>
      </w:pPr>
      <w:bookmarkStart w:id="9" w:name="_Toc469647925"/>
      <w:r w:rsidRPr="004A7D8B">
        <w:t xml:space="preserve">Tabela </w:t>
      </w:r>
      <w:r w:rsidR="006B0CA2">
        <w:t>2</w:t>
      </w:r>
      <w:r w:rsidRPr="004A7D8B">
        <w:t xml:space="preserve"> - Diferença percentual entre os níveis de formação - Piauí (1996-2016)</w:t>
      </w:r>
      <w:bookmarkEnd w:id="9"/>
    </w:p>
    <w:tbl>
      <w:tblPr>
        <w:tblW w:w="5000" w:type="pct"/>
        <w:tblCellMar>
          <w:left w:w="70" w:type="dxa"/>
          <w:right w:w="70" w:type="dxa"/>
        </w:tblCellMar>
        <w:tblLook w:val="04A0" w:firstRow="1" w:lastRow="0" w:firstColumn="1" w:lastColumn="0" w:noHBand="0" w:noVBand="1"/>
      </w:tblPr>
      <w:tblGrid>
        <w:gridCol w:w="585"/>
        <w:gridCol w:w="1512"/>
        <w:gridCol w:w="1707"/>
        <w:gridCol w:w="1941"/>
        <w:gridCol w:w="1296"/>
        <w:gridCol w:w="1463"/>
      </w:tblGrid>
      <w:tr w:rsidR="003C2EEA" w:rsidRPr="004A7D8B" w14:paraId="66048DC9" w14:textId="77777777" w:rsidTr="006F6877">
        <w:trPr>
          <w:trHeight w:val="255"/>
        </w:trPr>
        <w:tc>
          <w:tcPr>
            <w:tcW w:w="380" w:type="pct"/>
            <w:tcBorders>
              <w:top w:val="single" w:sz="4" w:space="0" w:color="auto"/>
              <w:bottom w:val="single" w:sz="4" w:space="0" w:color="auto"/>
            </w:tcBorders>
            <w:shd w:val="clear" w:color="auto" w:fill="F2F2F2"/>
            <w:noWrap/>
            <w:vAlign w:val="center"/>
            <w:hideMark/>
          </w:tcPr>
          <w:p w14:paraId="0EE71DE8" w14:textId="77777777" w:rsidR="003C2EEA" w:rsidRPr="004A7D8B" w:rsidRDefault="003C2EEA" w:rsidP="006F6877">
            <w:pPr>
              <w:jc w:val="center"/>
              <w:rPr>
                <w:rFonts w:eastAsia="Times New Roman" w:cs="Times New Roman"/>
                <w:b/>
                <w:sz w:val="20"/>
                <w:szCs w:val="20"/>
                <w:lang w:eastAsia="pt-BR"/>
              </w:rPr>
            </w:pPr>
            <w:r w:rsidRPr="004A7D8B">
              <w:rPr>
                <w:rFonts w:eastAsia="Times New Roman" w:cs="Times New Roman"/>
                <w:b/>
                <w:sz w:val="20"/>
                <w:szCs w:val="20"/>
                <w:lang w:eastAsia="pt-BR"/>
              </w:rPr>
              <w:t>ANO</w:t>
            </w:r>
          </w:p>
        </w:tc>
        <w:tc>
          <w:tcPr>
            <w:tcW w:w="946" w:type="pct"/>
            <w:tcBorders>
              <w:top w:val="single" w:sz="4" w:space="0" w:color="auto"/>
              <w:bottom w:val="single" w:sz="4" w:space="0" w:color="auto"/>
            </w:tcBorders>
            <w:shd w:val="clear" w:color="auto" w:fill="F2F2F2"/>
            <w:noWrap/>
            <w:vAlign w:val="center"/>
            <w:hideMark/>
          </w:tcPr>
          <w:p w14:paraId="5372F478" w14:textId="77777777" w:rsidR="003C2EEA" w:rsidRPr="004A7D8B" w:rsidRDefault="00BE0D84" w:rsidP="006F6877">
            <w:pPr>
              <w:jc w:val="center"/>
              <w:rPr>
                <w:rFonts w:eastAsia="Times New Roman" w:cs="Times New Roman"/>
                <w:b/>
                <w:bCs/>
                <w:sz w:val="20"/>
                <w:szCs w:val="20"/>
                <w:lang w:eastAsia="pt-BR"/>
              </w:rPr>
            </w:pPr>
            <w:r>
              <w:rPr>
                <w:rFonts w:eastAsia="Times New Roman" w:cs="Times New Roman"/>
                <w:b/>
                <w:bCs/>
                <w:sz w:val="20"/>
                <w:szCs w:val="20"/>
                <w:lang w:eastAsia="pt-BR"/>
              </w:rPr>
              <w:t>ENS.</w:t>
            </w:r>
            <w:r w:rsidR="003C2EEA" w:rsidRPr="004A7D8B">
              <w:rPr>
                <w:rFonts w:eastAsia="Times New Roman" w:cs="Times New Roman"/>
                <w:b/>
                <w:bCs/>
                <w:sz w:val="20"/>
                <w:szCs w:val="20"/>
                <w:lang w:eastAsia="pt-BR"/>
              </w:rPr>
              <w:t xml:space="preserve"> MÉDIO</w:t>
            </w:r>
          </w:p>
        </w:tc>
        <w:tc>
          <w:tcPr>
            <w:tcW w:w="959" w:type="pct"/>
            <w:tcBorders>
              <w:top w:val="single" w:sz="4" w:space="0" w:color="auto"/>
              <w:bottom w:val="single" w:sz="4" w:space="0" w:color="auto"/>
            </w:tcBorders>
            <w:shd w:val="clear" w:color="auto" w:fill="F2F2F2"/>
            <w:noWrap/>
            <w:vAlign w:val="center"/>
            <w:hideMark/>
          </w:tcPr>
          <w:p w14:paraId="7C19795B" w14:textId="77777777" w:rsidR="003C2EEA" w:rsidRPr="004A7D8B" w:rsidRDefault="003C2EEA" w:rsidP="00BE0D84">
            <w:pPr>
              <w:jc w:val="center"/>
              <w:rPr>
                <w:rFonts w:eastAsia="Times New Roman" w:cs="Times New Roman"/>
                <w:b/>
                <w:bCs/>
                <w:sz w:val="20"/>
                <w:szCs w:val="20"/>
                <w:lang w:eastAsia="pt-BR"/>
              </w:rPr>
            </w:pPr>
            <w:r w:rsidRPr="004A7D8B">
              <w:rPr>
                <w:rFonts w:eastAsia="Times New Roman" w:cs="Times New Roman"/>
                <w:b/>
                <w:bCs/>
                <w:sz w:val="20"/>
                <w:szCs w:val="20"/>
                <w:lang w:eastAsia="pt-BR"/>
              </w:rPr>
              <w:t>LICENCIATURA</w:t>
            </w:r>
          </w:p>
        </w:tc>
        <w:tc>
          <w:tcPr>
            <w:tcW w:w="1114" w:type="pct"/>
            <w:tcBorders>
              <w:top w:val="single" w:sz="4" w:space="0" w:color="auto"/>
              <w:bottom w:val="single" w:sz="4" w:space="0" w:color="auto"/>
            </w:tcBorders>
            <w:shd w:val="clear" w:color="auto" w:fill="F2F2F2"/>
            <w:noWrap/>
            <w:vAlign w:val="center"/>
            <w:hideMark/>
          </w:tcPr>
          <w:p w14:paraId="7851891F" w14:textId="77777777" w:rsidR="003C2EEA" w:rsidRPr="004A7D8B" w:rsidRDefault="003C2EEA"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ESPECIALIZAÇÃO</w:t>
            </w:r>
          </w:p>
        </w:tc>
        <w:tc>
          <w:tcPr>
            <w:tcW w:w="753" w:type="pct"/>
            <w:tcBorders>
              <w:top w:val="single" w:sz="4" w:space="0" w:color="auto"/>
              <w:bottom w:val="single" w:sz="4" w:space="0" w:color="auto"/>
            </w:tcBorders>
            <w:shd w:val="clear" w:color="auto" w:fill="F2F2F2"/>
            <w:noWrap/>
            <w:vAlign w:val="center"/>
            <w:hideMark/>
          </w:tcPr>
          <w:p w14:paraId="6B066E35" w14:textId="77777777" w:rsidR="003C2EEA" w:rsidRPr="004A7D8B" w:rsidRDefault="003C2EEA"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MESTRADO</w:t>
            </w:r>
          </w:p>
        </w:tc>
        <w:tc>
          <w:tcPr>
            <w:tcW w:w="848" w:type="pct"/>
            <w:tcBorders>
              <w:top w:val="single" w:sz="4" w:space="0" w:color="auto"/>
              <w:bottom w:val="single" w:sz="4" w:space="0" w:color="auto"/>
            </w:tcBorders>
            <w:shd w:val="clear" w:color="auto" w:fill="F2F2F2"/>
            <w:noWrap/>
            <w:vAlign w:val="center"/>
            <w:hideMark/>
          </w:tcPr>
          <w:p w14:paraId="70BEE282" w14:textId="77777777" w:rsidR="003C2EEA" w:rsidRPr="004A7D8B" w:rsidRDefault="003C2EEA" w:rsidP="006F6877">
            <w:pPr>
              <w:jc w:val="center"/>
              <w:rPr>
                <w:rFonts w:eastAsia="Times New Roman" w:cs="Times New Roman"/>
                <w:b/>
                <w:bCs/>
                <w:sz w:val="20"/>
                <w:szCs w:val="20"/>
                <w:lang w:eastAsia="pt-BR"/>
              </w:rPr>
            </w:pPr>
            <w:r w:rsidRPr="004A7D8B">
              <w:rPr>
                <w:rFonts w:eastAsia="Times New Roman" w:cs="Times New Roman"/>
                <w:b/>
                <w:bCs/>
                <w:sz w:val="20"/>
                <w:szCs w:val="20"/>
                <w:lang w:eastAsia="pt-BR"/>
              </w:rPr>
              <w:t>DOUTORADO</w:t>
            </w:r>
          </w:p>
        </w:tc>
      </w:tr>
      <w:tr w:rsidR="003C2EEA" w:rsidRPr="004A7D8B" w14:paraId="0A433B6E" w14:textId="77777777" w:rsidTr="006F6877">
        <w:trPr>
          <w:trHeight w:val="255"/>
        </w:trPr>
        <w:tc>
          <w:tcPr>
            <w:tcW w:w="380" w:type="pct"/>
            <w:tcBorders>
              <w:top w:val="single" w:sz="4" w:space="0" w:color="auto"/>
            </w:tcBorders>
            <w:shd w:val="clear" w:color="auto" w:fill="DEEAF6" w:themeFill="accent1" w:themeFillTint="33"/>
            <w:noWrap/>
            <w:vAlign w:val="center"/>
            <w:hideMark/>
          </w:tcPr>
          <w:p w14:paraId="57C03BE6"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1996</w:t>
            </w:r>
          </w:p>
        </w:tc>
        <w:tc>
          <w:tcPr>
            <w:tcW w:w="946" w:type="pct"/>
            <w:tcBorders>
              <w:top w:val="single" w:sz="4" w:space="0" w:color="auto"/>
            </w:tcBorders>
            <w:shd w:val="clear" w:color="auto" w:fill="DEEAF6" w:themeFill="accent1" w:themeFillTint="33"/>
            <w:noWrap/>
            <w:vAlign w:val="center"/>
            <w:hideMark/>
          </w:tcPr>
          <w:p w14:paraId="04C6C545"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tcBorders>
              <w:top w:val="single" w:sz="4" w:space="0" w:color="auto"/>
            </w:tcBorders>
            <w:shd w:val="clear" w:color="auto" w:fill="DEEAF6" w:themeFill="accent1" w:themeFillTint="33"/>
            <w:noWrap/>
            <w:vAlign w:val="center"/>
            <w:hideMark/>
          </w:tcPr>
          <w:p w14:paraId="588A8BF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tcBorders>
              <w:top w:val="single" w:sz="4" w:space="0" w:color="auto"/>
            </w:tcBorders>
            <w:shd w:val="clear" w:color="auto" w:fill="DEEAF6" w:themeFill="accent1" w:themeFillTint="33"/>
            <w:noWrap/>
            <w:vAlign w:val="center"/>
            <w:hideMark/>
          </w:tcPr>
          <w:p w14:paraId="56281011"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tcBorders>
              <w:top w:val="single" w:sz="4" w:space="0" w:color="auto"/>
            </w:tcBorders>
            <w:shd w:val="clear" w:color="auto" w:fill="DEEAF6" w:themeFill="accent1" w:themeFillTint="33"/>
            <w:noWrap/>
            <w:vAlign w:val="center"/>
            <w:hideMark/>
          </w:tcPr>
          <w:p w14:paraId="59FD42C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tcBorders>
              <w:top w:val="single" w:sz="4" w:space="0" w:color="auto"/>
            </w:tcBorders>
            <w:shd w:val="clear" w:color="auto" w:fill="DEEAF6" w:themeFill="accent1" w:themeFillTint="33"/>
            <w:noWrap/>
            <w:vAlign w:val="center"/>
            <w:hideMark/>
          </w:tcPr>
          <w:p w14:paraId="63F6B32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3E66D9E2" w14:textId="77777777" w:rsidTr="006F6877">
        <w:trPr>
          <w:trHeight w:val="255"/>
        </w:trPr>
        <w:tc>
          <w:tcPr>
            <w:tcW w:w="380" w:type="pct"/>
            <w:shd w:val="clear" w:color="auto" w:fill="DEEAF6" w:themeFill="accent1" w:themeFillTint="33"/>
            <w:noWrap/>
            <w:vAlign w:val="center"/>
            <w:hideMark/>
          </w:tcPr>
          <w:p w14:paraId="504BAC26"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1997</w:t>
            </w:r>
          </w:p>
        </w:tc>
        <w:tc>
          <w:tcPr>
            <w:tcW w:w="946" w:type="pct"/>
            <w:shd w:val="clear" w:color="auto" w:fill="DEEAF6" w:themeFill="accent1" w:themeFillTint="33"/>
            <w:noWrap/>
            <w:vAlign w:val="center"/>
            <w:hideMark/>
          </w:tcPr>
          <w:p w14:paraId="021808B2"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DEEAF6" w:themeFill="accent1" w:themeFillTint="33"/>
            <w:noWrap/>
            <w:vAlign w:val="center"/>
            <w:hideMark/>
          </w:tcPr>
          <w:p w14:paraId="6F1254CD"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shd w:val="clear" w:color="auto" w:fill="DEEAF6" w:themeFill="accent1" w:themeFillTint="33"/>
            <w:noWrap/>
            <w:vAlign w:val="center"/>
            <w:hideMark/>
          </w:tcPr>
          <w:p w14:paraId="2D4C28E6"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shd w:val="clear" w:color="auto" w:fill="DEEAF6" w:themeFill="accent1" w:themeFillTint="33"/>
            <w:noWrap/>
            <w:vAlign w:val="center"/>
            <w:hideMark/>
          </w:tcPr>
          <w:p w14:paraId="5DC9C3A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shd w:val="clear" w:color="auto" w:fill="DEEAF6" w:themeFill="accent1" w:themeFillTint="33"/>
            <w:noWrap/>
            <w:vAlign w:val="center"/>
            <w:hideMark/>
          </w:tcPr>
          <w:p w14:paraId="20642ED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13DAD120" w14:textId="77777777" w:rsidTr="006F6877">
        <w:trPr>
          <w:trHeight w:val="255"/>
        </w:trPr>
        <w:tc>
          <w:tcPr>
            <w:tcW w:w="380" w:type="pct"/>
            <w:shd w:val="clear" w:color="auto" w:fill="DEEAF6" w:themeFill="accent1" w:themeFillTint="33"/>
            <w:noWrap/>
            <w:vAlign w:val="center"/>
            <w:hideMark/>
          </w:tcPr>
          <w:p w14:paraId="0AC187C6"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1998</w:t>
            </w:r>
          </w:p>
        </w:tc>
        <w:tc>
          <w:tcPr>
            <w:tcW w:w="946" w:type="pct"/>
            <w:shd w:val="clear" w:color="auto" w:fill="DEEAF6" w:themeFill="accent1" w:themeFillTint="33"/>
            <w:noWrap/>
            <w:vAlign w:val="center"/>
            <w:hideMark/>
          </w:tcPr>
          <w:p w14:paraId="3D827426"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DEEAF6" w:themeFill="accent1" w:themeFillTint="33"/>
            <w:noWrap/>
            <w:vAlign w:val="center"/>
            <w:hideMark/>
          </w:tcPr>
          <w:p w14:paraId="50AE98A4"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shd w:val="clear" w:color="auto" w:fill="DEEAF6" w:themeFill="accent1" w:themeFillTint="33"/>
            <w:noWrap/>
            <w:vAlign w:val="center"/>
            <w:hideMark/>
          </w:tcPr>
          <w:p w14:paraId="5522A651"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shd w:val="clear" w:color="auto" w:fill="DEEAF6" w:themeFill="accent1" w:themeFillTint="33"/>
            <w:noWrap/>
            <w:vAlign w:val="center"/>
            <w:hideMark/>
          </w:tcPr>
          <w:p w14:paraId="2D5349F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shd w:val="clear" w:color="auto" w:fill="DEEAF6" w:themeFill="accent1" w:themeFillTint="33"/>
            <w:noWrap/>
            <w:vAlign w:val="center"/>
            <w:hideMark/>
          </w:tcPr>
          <w:p w14:paraId="6F4A639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35CDE0CC" w14:textId="77777777" w:rsidTr="006F6877">
        <w:trPr>
          <w:trHeight w:val="255"/>
        </w:trPr>
        <w:tc>
          <w:tcPr>
            <w:tcW w:w="380" w:type="pct"/>
            <w:shd w:val="clear" w:color="auto" w:fill="DEEAF6" w:themeFill="accent1" w:themeFillTint="33"/>
            <w:noWrap/>
            <w:vAlign w:val="center"/>
            <w:hideMark/>
          </w:tcPr>
          <w:p w14:paraId="4C95807B"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1999</w:t>
            </w:r>
          </w:p>
        </w:tc>
        <w:tc>
          <w:tcPr>
            <w:tcW w:w="946" w:type="pct"/>
            <w:shd w:val="clear" w:color="auto" w:fill="DEEAF6" w:themeFill="accent1" w:themeFillTint="33"/>
            <w:noWrap/>
            <w:vAlign w:val="center"/>
            <w:hideMark/>
          </w:tcPr>
          <w:p w14:paraId="1E6ECFF1"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DEEAF6" w:themeFill="accent1" w:themeFillTint="33"/>
            <w:noWrap/>
            <w:vAlign w:val="center"/>
            <w:hideMark/>
          </w:tcPr>
          <w:p w14:paraId="1C2C218D"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shd w:val="clear" w:color="auto" w:fill="DEEAF6" w:themeFill="accent1" w:themeFillTint="33"/>
            <w:noWrap/>
            <w:vAlign w:val="center"/>
            <w:hideMark/>
          </w:tcPr>
          <w:p w14:paraId="640FDF4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shd w:val="clear" w:color="auto" w:fill="DEEAF6" w:themeFill="accent1" w:themeFillTint="33"/>
            <w:noWrap/>
            <w:vAlign w:val="center"/>
            <w:hideMark/>
          </w:tcPr>
          <w:p w14:paraId="4FF4DA4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shd w:val="clear" w:color="auto" w:fill="DEEAF6" w:themeFill="accent1" w:themeFillTint="33"/>
            <w:noWrap/>
            <w:vAlign w:val="center"/>
            <w:hideMark/>
          </w:tcPr>
          <w:p w14:paraId="7F6737A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14D7E486" w14:textId="77777777" w:rsidTr="006F6877">
        <w:trPr>
          <w:trHeight w:val="255"/>
        </w:trPr>
        <w:tc>
          <w:tcPr>
            <w:tcW w:w="380" w:type="pct"/>
            <w:shd w:val="clear" w:color="auto" w:fill="DEEAF6" w:themeFill="accent1" w:themeFillTint="33"/>
            <w:noWrap/>
            <w:vAlign w:val="center"/>
            <w:hideMark/>
          </w:tcPr>
          <w:p w14:paraId="3635CCB3"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2000</w:t>
            </w:r>
          </w:p>
        </w:tc>
        <w:tc>
          <w:tcPr>
            <w:tcW w:w="946" w:type="pct"/>
            <w:shd w:val="clear" w:color="auto" w:fill="DEEAF6" w:themeFill="accent1" w:themeFillTint="33"/>
            <w:noWrap/>
            <w:vAlign w:val="center"/>
            <w:hideMark/>
          </w:tcPr>
          <w:p w14:paraId="48FAB9A8"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DEEAF6" w:themeFill="accent1" w:themeFillTint="33"/>
            <w:noWrap/>
            <w:vAlign w:val="center"/>
            <w:hideMark/>
          </w:tcPr>
          <w:p w14:paraId="55B1389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shd w:val="clear" w:color="auto" w:fill="DEEAF6" w:themeFill="accent1" w:themeFillTint="33"/>
            <w:noWrap/>
            <w:vAlign w:val="center"/>
            <w:hideMark/>
          </w:tcPr>
          <w:p w14:paraId="0AD43161"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shd w:val="clear" w:color="auto" w:fill="DEEAF6" w:themeFill="accent1" w:themeFillTint="33"/>
            <w:noWrap/>
            <w:vAlign w:val="center"/>
            <w:hideMark/>
          </w:tcPr>
          <w:p w14:paraId="0976FEC7"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shd w:val="clear" w:color="auto" w:fill="DEEAF6" w:themeFill="accent1" w:themeFillTint="33"/>
            <w:noWrap/>
            <w:vAlign w:val="center"/>
            <w:hideMark/>
          </w:tcPr>
          <w:p w14:paraId="3518D609"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7ACADD5C" w14:textId="77777777" w:rsidTr="006F6877">
        <w:trPr>
          <w:trHeight w:val="255"/>
        </w:trPr>
        <w:tc>
          <w:tcPr>
            <w:tcW w:w="380" w:type="pct"/>
            <w:shd w:val="clear" w:color="auto" w:fill="DEEAF6" w:themeFill="accent1" w:themeFillTint="33"/>
            <w:noWrap/>
            <w:vAlign w:val="center"/>
            <w:hideMark/>
          </w:tcPr>
          <w:p w14:paraId="3966A692"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2001</w:t>
            </w:r>
          </w:p>
        </w:tc>
        <w:tc>
          <w:tcPr>
            <w:tcW w:w="946" w:type="pct"/>
            <w:shd w:val="clear" w:color="auto" w:fill="DEEAF6" w:themeFill="accent1" w:themeFillTint="33"/>
            <w:noWrap/>
            <w:vAlign w:val="center"/>
            <w:hideMark/>
          </w:tcPr>
          <w:p w14:paraId="32110A3A"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DEEAF6" w:themeFill="accent1" w:themeFillTint="33"/>
            <w:noWrap/>
            <w:vAlign w:val="center"/>
            <w:hideMark/>
          </w:tcPr>
          <w:p w14:paraId="52C22F1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19,39</w:t>
            </w:r>
          </w:p>
        </w:tc>
        <w:tc>
          <w:tcPr>
            <w:tcW w:w="1114" w:type="pct"/>
            <w:shd w:val="clear" w:color="auto" w:fill="DEEAF6" w:themeFill="accent1" w:themeFillTint="33"/>
            <w:noWrap/>
            <w:vAlign w:val="center"/>
            <w:hideMark/>
          </w:tcPr>
          <w:p w14:paraId="7E95149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10,23</w:t>
            </w:r>
          </w:p>
        </w:tc>
        <w:tc>
          <w:tcPr>
            <w:tcW w:w="753" w:type="pct"/>
            <w:shd w:val="clear" w:color="auto" w:fill="DEEAF6" w:themeFill="accent1" w:themeFillTint="33"/>
            <w:noWrap/>
            <w:vAlign w:val="center"/>
            <w:hideMark/>
          </w:tcPr>
          <w:p w14:paraId="3842D3A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14,69</w:t>
            </w:r>
          </w:p>
        </w:tc>
        <w:tc>
          <w:tcPr>
            <w:tcW w:w="848" w:type="pct"/>
            <w:shd w:val="clear" w:color="auto" w:fill="DEEAF6" w:themeFill="accent1" w:themeFillTint="33"/>
            <w:noWrap/>
            <w:vAlign w:val="center"/>
            <w:hideMark/>
          </w:tcPr>
          <w:p w14:paraId="76BE3A2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8,07</w:t>
            </w:r>
          </w:p>
        </w:tc>
      </w:tr>
      <w:tr w:rsidR="003C2EEA" w:rsidRPr="004A7D8B" w14:paraId="47157143" w14:textId="77777777" w:rsidTr="006F6877">
        <w:trPr>
          <w:trHeight w:val="255"/>
        </w:trPr>
        <w:tc>
          <w:tcPr>
            <w:tcW w:w="380" w:type="pct"/>
            <w:shd w:val="clear" w:color="auto" w:fill="C9C9C9" w:themeFill="accent3" w:themeFillTint="99"/>
            <w:noWrap/>
            <w:vAlign w:val="center"/>
            <w:hideMark/>
          </w:tcPr>
          <w:p w14:paraId="539B0CEE"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2002</w:t>
            </w:r>
          </w:p>
        </w:tc>
        <w:tc>
          <w:tcPr>
            <w:tcW w:w="946" w:type="pct"/>
            <w:shd w:val="clear" w:color="auto" w:fill="C9C9C9" w:themeFill="accent3" w:themeFillTint="99"/>
            <w:noWrap/>
            <w:vAlign w:val="center"/>
            <w:hideMark/>
          </w:tcPr>
          <w:p w14:paraId="7E4BDFB2"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3FD1BCA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13,11</w:t>
            </w:r>
          </w:p>
        </w:tc>
        <w:tc>
          <w:tcPr>
            <w:tcW w:w="1114" w:type="pct"/>
            <w:shd w:val="clear" w:color="auto" w:fill="C9C9C9" w:themeFill="accent3" w:themeFillTint="99"/>
            <w:noWrap/>
            <w:vAlign w:val="center"/>
            <w:hideMark/>
          </w:tcPr>
          <w:p w14:paraId="6C40335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7,30</w:t>
            </w:r>
          </w:p>
        </w:tc>
        <w:tc>
          <w:tcPr>
            <w:tcW w:w="753" w:type="pct"/>
            <w:shd w:val="clear" w:color="auto" w:fill="C9C9C9" w:themeFill="accent3" w:themeFillTint="99"/>
            <w:noWrap/>
            <w:vAlign w:val="center"/>
            <w:hideMark/>
          </w:tcPr>
          <w:p w14:paraId="75FF0338"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8,59</w:t>
            </w:r>
          </w:p>
        </w:tc>
        <w:tc>
          <w:tcPr>
            <w:tcW w:w="848" w:type="pct"/>
            <w:shd w:val="clear" w:color="auto" w:fill="C9C9C9" w:themeFill="accent3" w:themeFillTint="99"/>
            <w:noWrap/>
            <w:vAlign w:val="center"/>
            <w:hideMark/>
          </w:tcPr>
          <w:p w14:paraId="532B818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8,26</w:t>
            </w:r>
          </w:p>
        </w:tc>
      </w:tr>
      <w:tr w:rsidR="003C2EEA" w:rsidRPr="004A7D8B" w14:paraId="2AAE5DFC" w14:textId="77777777" w:rsidTr="006F6877">
        <w:trPr>
          <w:trHeight w:val="255"/>
        </w:trPr>
        <w:tc>
          <w:tcPr>
            <w:tcW w:w="380" w:type="pct"/>
            <w:shd w:val="clear" w:color="auto" w:fill="C9C9C9" w:themeFill="accent3" w:themeFillTint="99"/>
            <w:noWrap/>
            <w:vAlign w:val="center"/>
            <w:hideMark/>
          </w:tcPr>
          <w:p w14:paraId="1CA6E0EC"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2003</w:t>
            </w:r>
          </w:p>
        </w:tc>
        <w:tc>
          <w:tcPr>
            <w:tcW w:w="946" w:type="pct"/>
            <w:shd w:val="clear" w:color="auto" w:fill="C9C9C9" w:themeFill="accent3" w:themeFillTint="99"/>
            <w:noWrap/>
            <w:vAlign w:val="center"/>
            <w:hideMark/>
          </w:tcPr>
          <w:p w14:paraId="490F7F72"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72991DB7"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3,07</w:t>
            </w:r>
          </w:p>
        </w:tc>
        <w:tc>
          <w:tcPr>
            <w:tcW w:w="1114" w:type="pct"/>
            <w:shd w:val="clear" w:color="auto" w:fill="C9C9C9" w:themeFill="accent3" w:themeFillTint="99"/>
            <w:noWrap/>
            <w:vAlign w:val="center"/>
            <w:hideMark/>
          </w:tcPr>
          <w:p w14:paraId="7715E57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8,95</w:t>
            </w:r>
          </w:p>
        </w:tc>
        <w:tc>
          <w:tcPr>
            <w:tcW w:w="753" w:type="pct"/>
            <w:shd w:val="clear" w:color="auto" w:fill="C9C9C9" w:themeFill="accent3" w:themeFillTint="99"/>
            <w:noWrap/>
            <w:vAlign w:val="center"/>
            <w:hideMark/>
          </w:tcPr>
          <w:p w14:paraId="1E12284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6,90</w:t>
            </w:r>
          </w:p>
        </w:tc>
        <w:tc>
          <w:tcPr>
            <w:tcW w:w="848" w:type="pct"/>
            <w:shd w:val="clear" w:color="auto" w:fill="C9C9C9" w:themeFill="accent3" w:themeFillTint="99"/>
            <w:noWrap/>
            <w:vAlign w:val="center"/>
            <w:hideMark/>
          </w:tcPr>
          <w:p w14:paraId="399F2DD7"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8,15</w:t>
            </w:r>
          </w:p>
        </w:tc>
      </w:tr>
      <w:tr w:rsidR="003C2EEA" w:rsidRPr="004A7D8B" w14:paraId="2EA7C590" w14:textId="77777777" w:rsidTr="006F6877">
        <w:trPr>
          <w:trHeight w:val="255"/>
        </w:trPr>
        <w:tc>
          <w:tcPr>
            <w:tcW w:w="380" w:type="pct"/>
            <w:shd w:val="clear" w:color="auto" w:fill="C9C9C9" w:themeFill="accent3" w:themeFillTint="99"/>
            <w:noWrap/>
            <w:vAlign w:val="center"/>
            <w:hideMark/>
          </w:tcPr>
          <w:p w14:paraId="7E584DF5"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2004</w:t>
            </w:r>
          </w:p>
        </w:tc>
        <w:tc>
          <w:tcPr>
            <w:tcW w:w="946" w:type="pct"/>
            <w:shd w:val="clear" w:color="auto" w:fill="C9C9C9" w:themeFill="accent3" w:themeFillTint="99"/>
            <w:noWrap/>
            <w:vAlign w:val="center"/>
            <w:hideMark/>
          </w:tcPr>
          <w:p w14:paraId="1CB39FCD"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32062F4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12,47</w:t>
            </w:r>
          </w:p>
        </w:tc>
        <w:tc>
          <w:tcPr>
            <w:tcW w:w="1114" w:type="pct"/>
            <w:shd w:val="clear" w:color="auto" w:fill="C9C9C9" w:themeFill="accent3" w:themeFillTint="99"/>
            <w:noWrap/>
            <w:vAlign w:val="center"/>
            <w:hideMark/>
          </w:tcPr>
          <w:p w14:paraId="324F716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8,39</w:t>
            </w:r>
          </w:p>
        </w:tc>
        <w:tc>
          <w:tcPr>
            <w:tcW w:w="753" w:type="pct"/>
            <w:shd w:val="clear" w:color="auto" w:fill="C9C9C9" w:themeFill="accent3" w:themeFillTint="99"/>
            <w:noWrap/>
            <w:vAlign w:val="center"/>
            <w:hideMark/>
          </w:tcPr>
          <w:p w14:paraId="2CBF783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6,85</w:t>
            </w:r>
          </w:p>
        </w:tc>
        <w:tc>
          <w:tcPr>
            <w:tcW w:w="848" w:type="pct"/>
            <w:shd w:val="clear" w:color="auto" w:fill="C9C9C9" w:themeFill="accent3" w:themeFillTint="99"/>
            <w:noWrap/>
            <w:vAlign w:val="center"/>
            <w:hideMark/>
          </w:tcPr>
          <w:p w14:paraId="48743F28"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7,94</w:t>
            </w:r>
          </w:p>
        </w:tc>
      </w:tr>
      <w:tr w:rsidR="003C2EEA" w:rsidRPr="004A7D8B" w14:paraId="3DF9921C" w14:textId="77777777" w:rsidTr="006F6877">
        <w:trPr>
          <w:trHeight w:val="255"/>
        </w:trPr>
        <w:tc>
          <w:tcPr>
            <w:tcW w:w="380" w:type="pct"/>
            <w:shd w:val="clear" w:color="auto" w:fill="C9C9C9" w:themeFill="accent3" w:themeFillTint="99"/>
            <w:noWrap/>
            <w:vAlign w:val="center"/>
            <w:hideMark/>
          </w:tcPr>
          <w:p w14:paraId="7552EB98"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2005</w:t>
            </w:r>
          </w:p>
        </w:tc>
        <w:tc>
          <w:tcPr>
            <w:tcW w:w="946" w:type="pct"/>
            <w:shd w:val="clear" w:color="auto" w:fill="C9C9C9" w:themeFill="accent3" w:themeFillTint="99"/>
            <w:noWrap/>
            <w:vAlign w:val="center"/>
            <w:hideMark/>
          </w:tcPr>
          <w:p w14:paraId="09250E99"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6DADB81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1,65</w:t>
            </w:r>
          </w:p>
        </w:tc>
        <w:tc>
          <w:tcPr>
            <w:tcW w:w="1114" w:type="pct"/>
            <w:shd w:val="clear" w:color="auto" w:fill="C9C9C9" w:themeFill="accent3" w:themeFillTint="99"/>
            <w:noWrap/>
            <w:vAlign w:val="center"/>
            <w:hideMark/>
          </w:tcPr>
          <w:p w14:paraId="3C7CCA5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4,87</w:t>
            </w:r>
          </w:p>
        </w:tc>
        <w:tc>
          <w:tcPr>
            <w:tcW w:w="753" w:type="pct"/>
            <w:shd w:val="clear" w:color="auto" w:fill="C9C9C9" w:themeFill="accent3" w:themeFillTint="99"/>
            <w:noWrap/>
            <w:vAlign w:val="center"/>
            <w:hideMark/>
          </w:tcPr>
          <w:p w14:paraId="1A6A252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3,90</w:t>
            </w:r>
          </w:p>
        </w:tc>
        <w:tc>
          <w:tcPr>
            <w:tcW w:w="848" w:type="pct"/>
            <w:shd w:val="clear" w:color="auto" w:fill="C9C9C9" w:themeFill="accent3" w:themeFillTint="99"/>
            <w:noWrap/>
            <w:vAlign w:val="center"/>
            <w:hideMark/>
          </w:tcPr>
          <w:p w14:paraId="751EE9B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4,74</w:t>
            </w:r>
          </w:p>
        </w:tc>
      </w:tr>
      <w:tr w:rsidR="003C2EEA" w:rsidRPr="004A7D8B" w14:paraId="10E8FBE6" w14:textId="77777777" w:rsidTr="006F6877">
        <w:trPr>
          <w:trHeight w:val="255"/>
        </w:trPr>
        <w:tc>
          <w:tcPr>
            <w:tcW w:w="380" w:type="pct"/>
            <w:shd w:val="clear" w:color="auto" w:fill="C9C9C9" w:themeFill="accent3" w:themeFillTint="99"/>
            <w:noWrap/>
            <w:vAlign w:val="center"/>
            <w:hideMark/>
          </w:tcPr>
          <w:p w14:paraId="2A671AA8"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2006</w:t>
            </w:r>
          </w:p>
        </w:tc>
        <w:tc>
          <w:tcPr>
            <w:tcW w:w="946" w:type="pct"/>
            <w:shd w:val="clear" w:color="auto" w:fill="C9C9C9" w:themeFill="accent3" w:themeFillTint="99"/>
            <w:noWrap/>
            <w:vAlign w:val="center"/>
            <w:hideMark/>
          </w:tcPr>
          <w:p w14:paraId="50767ABE"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6C4FB17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5,66</w:t>
            </w:r>
          </w:p>
        </w:tc>
        <w:tc>
          <w:tcPr>
            <w:tcW w:w="1114" w:type="pct"/>
            <w:shd w:val="clear" w:color="auto" w:fill="C9C9C9" w:themeFill="accent3" w:themeFillTint="99"/>
            <w:noWrap/>
            <w:vAlign w:val="center"/>
            <w:hideMark/>
          </w:tcPr>
          <w:p w14:paraId="48576E3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3,37</w:t>
            </w:r>
          </w:p>
        </w:tc>
        <w:tc>
          <w:tcPr>
            <w:tcW w:w="753" w:type="pct"/>
            <w:shd w:val="clear" w:color="auto" w:fill="C9C9C9" w:themeFill="accent3" w:themeFillTint="99"/>
            <w:noWrap/>
            <w:vAlign w:val="center"/>
            <w:hideMark/>
          </w:tcPr>
          <w:p w14:paraId="5D2CA52C"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4,12</w:t>
            </w:r>
          </w:p>
        </w:tc>
        <w:tc>
          <w:tcPr>
            <w:tcW w:w="848" w:type="pct"/>
            <w:shd w:val="clear" w:color="auto" w:fill="C9C9C9" w:themeFill="accent3" w:themeFillTint="99"/>
            <w:noWrap/>
            <w:vAlign w:val="center"/>
            <w:hideMark/>
          </w:tcPr>
          <w:p w14:paraId="14C97DB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4,13</w:t>
            </w:r>
          </w:p>
        </w:tc>
      </w:tr>
      <w:tr w:rsidR="003C2EEA" w:rsidRPr="004A7D8B" w14:paraId="6CFB9E6F" w14:textId="77777777" w:rsidTr="006F6877">
        <w:trPr>
          <w:trHeight w:val="255"/>
        </w:trPr>
        <w:tc>
          <w:tcPr>
            <w:tcW w:w="380" w:type="pct"/>
            <w:shd w:val="clear" w:color="auto" w:fill="C9C9C9" w:themeFill="accent3" w:themeFillTint="99"/>
            <w:noWrap/>
            <w:vAlign w:val="center"/>
            <w:hideMark/>
          </w:tcPr>
          <w:p w14:paraId="55146A4A"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2007</w:t>
            </w:r>
          </w:p>
        </w:tc>
        <w:tc>
          <w:tcPr>
            <w:tcW w:w="946" w:type="pct"/>
            <w:shd w:val="clear" w:color="auto" w:fill="C9C9C9" w:themeFill="accent3" w:themeFillTint="99"/>
            <w:noWrap/>
            <w:vAlign w:val="center"/>
            <w:hideMark/>
          </w:tcPr>
          <w:p w14:paraId="0B3E7A85"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76EEE76D"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17,95</w:t>
            </w:r>
          </w:p>
        </w:tc>
        <w:tc>
          <w:tcPr>
            <w:tcW w:w="1114" w:type="pct"/>
            <w:shd w:val="clear" w:color="auto" w:fill="C9C9C9" w:themeFill="accent3" w:themeFillTint="99"/>
            <w:noWrap/>
            <w:vAlign w:val="center"/>
            <w:hideMark/>
          </w:tcPr>
          <w:p w14:paraId="463139C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16,30</w:t>
            </w:r>
          </w:p>
        </w:tc>
        <w:tc>
          <w:tcPr>
            <w:tcW w:w="753" w:type="pct"/>
            <w:shd w:val="clear" w:color="auto" w:fill="C9C9C9" w:themeFill="accent3" w:themeFillTint="99"/>
            <w:noWrap/>
            <w:vAlign w:val="center"/>
            <w:hideMark/>
          </w:tcPr>
          <w:p w14:paraId="69819660"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16,82</w:t>
            </w:r>
          </w:p>
        </w:tc>
        <w:tc>
          <w:tcPr>
            <w:tcW w:w="848" w:type="pct"/>
            <w:shd w:val="clear" w:color="auto" w:fill="C9C9C9" w:themeFill="accent3" w:themeFillTint="99"/>
            <w:noWrap/>
            <w:vAlign w:val="center"/>
            <w:hideMark/>
          </w:tcPr>
          <w:p w14:paraId="2B72C4F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36,00</w:t>
            </w:r>
          </w:p>
        </w:tc>
      </w:tr>
      <w:tr w:rsidR="003C2EEA" w:rsidRPr="004A7D8B" w14:paraId="3BDF19A1" w14:textId="77777777" w:rsidTr="006F6877">
        <w:trPr>
          <w:trHeight w:val="255"/>
        </w:trPr>
        <w:tc>
          <w:tcPr>
            <w:tcW w:w="380" w:type="pct"/>
            <w:shd w:val="clear" w:color="auto" w:fill="C9C9C9" w:themeFill="accent3" w:themeFillTint="99"/>
            <w:noWrap/>
            <w:vAlign w:val="center"/>
            <w:hideMark/>
          </w:tcPr>
          <w:p w14:paraId="0BF9EC95"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2008</w:t>
            </w:r>
          </w:p>
        </w:tc>
        <w:tc>
          <w:tcPr>
            <w:tcW w:w="946" w:type="pct"/>
            <w:shd w:val="clear" w:color="auto" w:fill="C9C9C9" w:themeFill="accent3" w:themeFillTint="99"/>
            <w:noWrap/>
            <w:vAlign w:val="center"/>
            <w:hideMark/>
          </w:tcPr>
          <w:p w14:paraId="0DF5C51B"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2897606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15,55</w:t>
            </w:r>
          </w:p>
        </w:tc>
        <w:tc>
          <w:tcPr>
            <w:tcW w:w="1114" w:type="pct"/>
            <w:shd w:val="clear" w:color="auto" w:fill="C9C9C9" w:themeFill="accent3" w:themeFillTint="99"/>
            <w:noWrap/>
            <w:vAlign w:val="center"/>
            <w:hideMark/>
          </w:tcPr>
          <w:p w14:paraId="5259D66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16,30</w:t>
            </w:r>
          </w:p>
        </w:tc>
        <w:tc>
          <w:tcPr>
            <w:tcW w:w="753" w:type="pct"/>
            <w:shd w:val="clear" w:color="auto" w:fill="C9C9C9" w:themeFill="accent3" w:themeFillTint="99"/>
            <w:noWrap/>
            <w:vAlign w:val="center"/>
            <w:hideMark/>
          </w:tcPr>
          <w:p w14:paraId="5B8269A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16,82</w:t>
            </w:r>
          </w:p>
        </w:tc>
        <w:tc>
          <w:tcPr>
            <w:tcW w:w="848" w:type="pct"/>
            <w:shd w:val="clear" w:color="auto" w:fill="C9C9C9" w:themeFill="accent3" w:themeFillTint="99"/>
            <w:noWrap/>
            <w:vAlign w:val="center"/>
            <w:hideMark/>
          </w:tcPr>
          <w:p w14:paraId="351D309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36,00</w:t>
            </w:r>
          </w:p>
        </w:tc>
      </w:tr>
      <w:tr w:rsidR="003C2EEA" w:rsidRPr="004A7D8B" w14:paraId="0A21541E" w14:textId="77777777" w:rsidTr="006F6877">
        <w:trPr>
          <w:trHeight w:val="255"/>
        </w:trPr>
        <w:tc>
          <w:tcPr>
            <w:tcW w:w="380" w:type="pct"/>
            <w:shd w:val="clear" w:color="auto" w:fill="C9C9C9" w:themeFill="accent3" w:themeFillTint="99"/>
            <w:noWrap/>
            <w:vAlign w:val="center"/>
            <w:hideMark/>
          </w:tcPr>
          <w:p w14:paraId="78E71578"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2009</w:t>
            </w:r>
          </w:p>
        </w:tc>
        <w:tc>
          <w:tcPr>
            <w:tcW w:w="946" w:type="pct"/>
            <w:shd w:val="clear" w:color="auto" w:fill="C9C9C9" w:themeFill="accent3" w:themeFillTint="99"/>
            <w:noWrap/>
            <w:vAlign w:val="center"/>
            <w:hideMark/>
          </w:tcPr>
          <w:p w14:paraId="542F9095"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3FCA84DD"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16,13</w:t>
            </w:r>
          </w:p>
        </w:tc>
        <w:tc>
          <w:tcPr>
            <w:tcW w:w="1114" w:type="pct"/>
            <w:shd w:val="clear" w:color="auto" w:fill="C9C9C9" w:themeFill="accent3" w:themeFillTint="99"/>
            <w:noWrap/>
            <w:vAlign w:val="center"/>
            <w:hideMark/>
          </w:tcPr>
          <w:p w14:paraId="5757D8D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18,52</w:t>
            </w:r>
          </w:p>
        </w:tc>
        <w:tc>
          <w:tcPr>
            <w:tcW w:w="753" w:type="pct"/>
            <w:shd w:val="clear" w:color="auto" w:fill="C9C9C9" w:themeFill="accent3" w:themeFillTint="99"/>
            <w:noWrap/>
            <w:vAlign w:val="center"/>
            <w:hideMark/>
          </w:tcPr>
          <w:p w14:paraId="60279A88"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17,19</w:t>
            </w:r>
          </w:p>
        </w:tc>
        <w:tc>
          <w:tcPr>
            <w:tcW w:w="848" w:type="pct"/>
            <w:shd w:val="clear" w:color="auto" w:fill="C9C9C9" w:themeFill="accent3" w:themeFillTint="99"/>
            <w:noWrap/>
            <w:vAlign w:val="center"/>
            <w:hideMark/>
          </w:tcPr>
          <w:p w14:paraId="6A604419"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34,00</w:t>
            </w:r>
          </w:p>
        </w:tc>
      </w:tr>
      <w:tr w:rsidR="003C2EEA" w:rsidRPr="004A7D8B" w14:paraId="5D4EE91F" w14:textId="77777777" w:rsidTr="006F6877">
        <w:trPr>
          <w:trHeight w:val="255"/>
        </w:trPr>
        <w:tc>
          <w:tcPr>
            <w:tcW w:w="380" w:type="pct"/>
            <w:shd w:val="clear" w:color="auto" w:fill="C9C9C9" w:themeFill="accent3" w:themeFillTint="99"/>
            <w:noWrap/>
            <w:vAlign w:val="center"/>
            <w:hideMark/>
          </w:tcPr>
          <w:p w14:paraId="3BA4BEFE"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2010</w:t>
            </w:r>
          </w:p>
        </w:tc>
        <w:tc>
          <w:tcPr>
            <w:tcW w:w="946" w:type="pct"/>
            <w:shd w:val="clear" w:color="auto" w:fill="C9C9C9" w:themeFill="accent3" w:themeFillTint="99"/>
            <w:noWrap/>
            <w:vAlign w:val="center"/>
            <w:hideMark/>
          </w:tcPr>
          <w:p w14:paraId="3A3FE3AD"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400E2FAD"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22,55</w:t>
            </w:r>
          </w:p>
        </w:tc>
        <w:tc>
          <w:tcPr>
            <w:tcW w:w="1114" w:type="pct"/>
            <w:shd w:val="clear" w:color="auto" w:fill="C9C9C9" w:themeFill="accent3" w:themeFillTint="99"/>
            <w:noWrap/>
            <w:vAlign w:val="center"/>
            <w:hideMark/>
          </w:tcPr>
          <w:p w14:paraId="7B47D2C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14,45</w:t>
            </w:r>
          </w:p>
        </w:tc>
        <w:tc>
          <w:tcPr>
            <w:tcW w:w="753" w:type="pct"/>
            <w:shd w:val="clear" w:color="auto" w:fill="C9C9C9" w:themeFill="accent3" w:themeFillTint="99"/>
            <w:noWrap/>
            <w:vAlign w:val="center"/>
            <w:hideMark/>
          </w:tcPr>
          <w:p w14:paraId="0D6E928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14,45</w:t>
            </w:r>
          </w:p>
        </w:tc>
        <w:tc>
          <w:tcPr>
            <w:tcW w:w="848" w:type="pct"/>
            <w:shd w:val="clear" w:color="auto" w:fill="C9C9C9" w:themeFill="accent3" w:themeFillTint="99"/>
            <w:noWrap/>
            <w:vAlign w:val="center"/>
            <w:hideMark/>
          </w:tcPr>
          <w:p w14:paraId="65F75A4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26,50</w:t>
            </w:r>
          </w:p>
        </w:tc>
      </w:tr>
      <w:tr w:rsidR="003C2EEA" w:rsidRPr="004A7D8B" w14:paraId="4B83730E" w14:textId="77777777" w:rsidTr="006F6877">
        <w:trPr>
          <w:trHeight w:val="255"/>
        </w:trPr>
        <w:tc>
          <w:tcPr>
            <w:tcW w:w="380" w:type="pct"/>
            <w:shd w:val="clear" w:color="auto" w:fill="C9C9C9" w:themeFill="accent3" w:themeFillTint="99"/>
            <w:noWrap/>
            <w:vAlign w:val="center"/>
            <w:hideMark/>
          </w:tcPr>
          <w:p w14:paraId="37524538"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2011</w:t>
            </w:r>
          </w:p>
        </w:tc>
        <w:tc>
          <w:tcPr>
            <w:tcW w:w="946" w:type="pct"/>
            <w:shd w:val="clear" w:color="auto" w:fill="C9C9C9" w:themeFill="accent3" w:themeFillTint="99"/>
            <w:noWrap/>
            <w:vAlign w:val="center"/>
            <w:hideMark/>
          </w:tcPr>
          <w:p w14:paraId="6A3651F4"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C9C9C9" w:themeFill="accent3" w:themeFillTint="99"/>
            <w:noWrap/>
            <w:vAlign w:val="center"/>
            <w:hideMark/>
          </w:tcPr>
          <w:p w14:paraId="40F2EAF6"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19,47</w:t>
            </w:r>
          </w:p>
        </w:tc>
        <w:tc>
          <w:tcPr>
            <w:tcW w:w="1114" w:type="pct"/>
            <w:shd w:val="clear" w:color="auto" w:fill="C9C9C9" w:themeFill="accent3" w:themeFillTint="99"/>
            <w:noWrap/>
            <w:vAlign w:val="center"/>
            <w:hideMark/>
          </w:tcPr>
          <w:p w14:paraId="422CB9BB"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12,79</w:t>
            </w:r>
          </w:p>
        </w:tc>
        <w:tc>
          <w:tcPr>
            <w:tcW w:w="753" w:type="pct"/>
            <w:shd w:val="clear" w:color="auto" w:fill="C9C9C9" w:themeFill="accent3" w:themeFillTint="99"/>
            <w:noWrap/>
            <w:vAlign w:val="center"/>
            <w:hideMark/>
          </w:tcPr>
          <w:p w14:paraId="48DE170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13,02</w:t>
            </w:r>
          </w:p>
        </w:tc>
        <w:tc>
          <w:tcPr>
            <w:tcW w:w="848" w:type="pct"/>
            <w:shd w:val="clear" w:color="auto" w:fill="C9C9C9" w:themeFill="accent3" w:themeFillTint="99"/>
            <w:noWrap/>
            <w:vAlign w:val="center"/>
            <w:hideMark/>
          </w:tcPr>
          <w:p w14:paraId="0B25FDB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24,08</w:t>
            </w:r>
          </w:p>
        </w:tc>
      </w:tr>
      <w:tr w:rsidR="003C2EEA" w:rsidRPr="004A7D8B" w14:paraId="61A7FF9E" w14:textId="77777777" w:rsidTr="006F6877">
        <w:trPr>
          <w:trHeight w:val="255"/>
        </w:trPr>
        <w:tc>
          <w:tcPr>
            <w:tcW w:w="380" w:type="pct"/>
            <w:shd w:val="clear" w:color="auto" w:fill="E2EFD9" w:themeFill="accent6" w:themeFillTint="33"/>
            <w:noWrap/>
            <w:vAlign w:val="center"/>
            <w:hideMark/>
          </w:tcPr>
          <w:p w14:paraId="0CE1B98E"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2012</w:t>
            </w:r>
          </w:p>
        </w:tc>
        <w:tc>
          <w:tcPr>
            <w:tcW w:w="946" w:type="pct"/>
            <w:shd w:val="clear" w:color="auto" w:fill="E2EFD9" w:themeFill="accent6" w:themeFillTint="33"/>
            <w:noWrap/>
            <w:vAlign w:val="center"/>
            <w:hideMark/>
          </w:tcPr>
          <w:p w14:paraId="4A982B6A"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E2EFD9" w:themeFill="accent6" w:themeFillTint="33"/>
            <w:noWrap/>
            <w:vAlign w:val="center"/>
            <w:hideMark/>
          </w:tcPr>
          <w:p w14:paraId="4AC66F81"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18,58</w:t>
            </w:r>
          </w:p>
        </w:tc>
        <w:tc>
          <w:tcPr>
            <w:tcW w:w="1114" w:type="pct"/>
            <w:shd w:val="clear" w:color="auto" w:fill="E2EFD9" w:themeFill="accent6" w:themeFillTint="33"/>
            <w:noWrap/>
            <w:vAlign w:val="center"/>
            <w:hideMark/>
          </w:tcPr>
          <w:p w14:paraId="39B07437"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11,13</w:t>
            </w:r>
          </w:p>
        </w:tc>
        <w:tc>
          <w:tcPr>
            <w:tcW w:w="753" w:type="pct"/>
            <w:shd w:val="clear" w:color="auto" w:fill="E2EFD9" w:themeFill="accent6" w:themeFillTint="33"/>
            <w:noWrap/>
            <w:vAlign w:val="center"/>
            <w:hideMark/>
          </w:tcPr>
          <w:p w14:paraId="41673F57"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11,46</w:t>
            </w:r>
          </w:p>
        </w:tc>
        <w:tc>
          <w:tcPr>
            <w:tcW w:w="848" w:type="pct"/>
            <w:shd w:val="clear" w:color="auto" w:fill="E2EFD9" w:themeFill="accent6" w:themeFillTint="33"/>
            <w:noWrap/>
            <w:vAlign w:val="center"/>
            <w:hideMark/>
          </w:tcPr>
          <w:p w14:paraId="30F5D2E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21,58</w:t>
            </w:r>
          </w:p>
        </w:tc>
      </w:tr>
      <w:tr w:rsidR="003C2EEA" w:rsidRPr="004A7D8B" w14:paraId="2FEEA46E" w14:textId="77777777" w:rsidTr="006F6877">
        <w:trPr>
          <w:trHeight w:val="255"/>
        </w:trPr>
        <w:tc>
          <w:tcPr>
            <w:tcW w:w="380" w:type="pct"/>
            <w:shd w:val="clear" w:color="auto" w:fill="E2EFD9" w:themeFill="accent6" w:themeFillTint="33"/>
            <w:noWrap/>
            <w:vAlign w:val="center"/>
            <w:hideMark/>
          </w:tcPr>
          <w:p w14:paraId="0506303C"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2013</w:t>
            </w:r>
          </w:p>
        </w:tc>
        <w:tc>
          <w:tcPr>
            <w:tcW w:w="946" w:type="pct"/>
            <w:shd w:val="clear" w:color="auto" w:fill="E2EFD9" w:themeFill="accent6" w:themeFillTint="33"/>
            <w:noWrap/>
            <w:vAlign w:val="center"/>
            <w:hideMark/>
          </w:tcPr>
          <w:p w14:paraId="59752D7C"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E2EFD9" w:themeFill="accent6" w:themeFillTint="33"/>
            <w:noWrap/>
            <w:vAlign w:val="center"/>
            <w:hideMark/>
          </w:tcPr>
          <w:p w14:paraId="7F5ED705"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18,58</w:t>
            </w:r>
          </w:p>
        </w:tc>
        <w:tc>
          <w:tcPr>
            <w:tcW w:w="1114" w:type="pct"/>
            <w:shd w:val="clear" w:color="auto" w:fill="E2EFD9" w:themeFill="accent6" w:themeFillTint="33"/>
            <w:noWrap/>
            <w:vAlign w:val="center"/>
            <w:hideMark/>
          </w:tcPr>
          <w:p w14:paraId="746BC70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11,13</w:t>
            </w:r>
          </w:p>
        </w:tc>
        <w:tc>
          <w:tcPr>
            <w:tcW w:w="753" w:type="pct"/>
            <w:shd w:val="clear" w:color="auto" w:fill="E2EFD9" w:themeFill="accent6" w:themeFillTint="33"/>
            <w:noWrap/>
            <w:vAlign w:val="center"/>
            <w:hideMark/>
          </w:tcPr>
          <w:p w14:paraId="65BEA304"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11,46</w:t>
            </w:r>
          </w:p>
        </w:tc>
        <w:tc>
          <w:tcPr>
            <w:tcW w:w="848" w:type="pct"/>
            <w:shd w:val="clear" w:color="auto" w:fill="E2EFD9" w:themeFill="accent6" w:themeFillTint="33"/>
            <w:noWrap/>
            <w:vAlign w:val="center"/>
            <w:hideMark/>
          </w:tcPr>
          <w:p w14:paraId="5D80C411"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21,58</w:t>
            </w:r>
          </w:p>
        </w:tc>
      </w:tr>
      <w:tr w:rsidR="003C2EEA" w:rsidRPr="004A7D8B" w14:paraId="54DF0010" w14:textId="77777777" w:rsidTr="006F6877">
        <w:trPr>
          <w:trHeight w:val="255"/>
        </w:trPr>
        <w:tc>
          <w:tcPr>
            <w:tcW w:w="380" w:type="pct"/>
            <w:shd w:val="clear" w:color="auto" w:fill="E2EFD9" w:themeFill="accent6" w:themeFillTint="33"/>
            <w:noWrap/>
            <w:vAlign w:val="center"/>
            <w:hideMark/>
          </w:tcPr>
          <w:p w14:paraId="7126EB25"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2014</w:t>
            </w:r>
          </w:p>
        </w:tc>
        <w:tc>
          <w:tcPr>
            <w:tcW w:w="946" w:type="pct"/>
            <w:shd w:val="clear" w:color="auto" w:fill="E2EFD9" w:themeFill="accent6" w:themeFillTint="33"/>
            <w:noWrap/>
            <w:vAlign w:val="center"/>
            <w:hideMark/>
          </w:tcPr>
          <w:p w14:paraId="7D17ECD0"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E2EFD9" w:themeFill="accent6" w:themeFillTint="33"/>
            <w:noWrap/>
            <w:vAlign w:val="center"/>
            <w:hideMark/>
          </w:tcPr>
          <w:p w14:paraId="19E4E9D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18,58</w:t>
            </w:r>
          </w:p>
        </w:tc>
        <w:tc>
          <w:tcPr>
            <w:tcW w:w="1114" w:type="pct"/>
            <w:shd w:val="clear" w:color="auto" w:fill="E2EFD9" w:themeFill="accent6" w:themeFillTint="33"/>
            <w:noWrap/>
            <w:vAlign w:val="center"/>
            <w:hideMark/>
          </w:tcPr>
          <w:p w14:paraId="7DEC985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11,30</w:t>
            </w:r>
          </w:p>
        </w:tc>
        <w:tc>
          <w:tcPr>
            <w:tcW w:w="753" w:type="pct"/>
            <w:shd w:val="clear" w:color="auto" w:fill="E2EFD9" w:themeFill="accent6" w:themeFillTint="33"/>
            <w:noWrap/>
            <w:vAlign w:val="center"/>
            <w:hideMark/>
          </w:tcPr>
          <w:p w14:paraId="789CAE92"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11,46</w:t>
            </w:r>
          </w:p>
        </w:tc>
        <w:tc>
          <w:tcPr>
            <w:tcW w:w="848" w:type="pct"/>
            <w:shd w:val="clear" w:color="auto" w:fill="E2EFD9" w:themeFill="accent6" w:themeFillTint="33"/>
            <w:noWrap/>
            <w:vAlign w:val="center"/>
            <w:hideMark/>
          </w:tcPr>
          <w:p w14:paraId="2DE21226"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21,58</w:t>
            </w:r>
          </w:p>
        </w:tc>
      </w:tr>
      <w:tr w:rsidR="003C2EEA" w:rsidRPr="004A7D8B" w14:paraId="75C85529" w14:textId="77777777" w:rsidTr="006F6877">
        <w:trPr>
          <w:trHeight w:val="255"/>
        </w:trPr>
        <w:tc>
          <w:tcPr>
            <w:tcW w:w="380" w:type="pct"/>
            <w:shd w:val="clear" w:color="auto" w:fill="E2EFD9" w:themeFill="accent6" w:themeFillTint="33"/>
            <w:noWrap/>
            <w:vAlign w:val="center"/>
            <w:hideMark/>
          </w:tcPr>
          <w:p w14:paraId="0A1251DD" w14:textId="77777777" w:rsidR="003C2EEA" w:rsidRPr="004A7D8B" w:rsidRDefault="003C2EEA" w:rsidP="006F6877">
            <w:pPr>
              <w:jc w:val="center"/>
              <w:rPr>
                <w:rFonts w:eastAsia="Times New Roman" w:cs="Times New Roman"/>
                <w:bCs/>
                <w:sz w:val="20"/>
                <w:szCs w:val="20"/>
                <w:lang w:eastAsia="pt-BR"/>
              </w:rPr>
            </w:pPr>
            <w:r w:rsidRPr="004A7D8B">
              <w:rPr>
                <w:rFonts w:eastAsia="Times New Roman" w:cs="Times New Roman"/>
                <w:bCs/>
                <w:sz w:val="20"/>
                <w:szCs w:val="20"/>
                <w:lang w:eastAsia="pt-BR"/>
              </w:rPr>
              <w:t>2015</w:t>
            </w:r>
          </w:p>
        </w:tc>
        <w:tc>
          <w:tcPr>
            <w:tcW w:w="946" w:type="pct"/>
            <w:shd w:val="clear" w:color="auto" w:fill="E2EFD9" w:themeFill="accent6" w:themeFillTint="33"/>
            <w:noWrap/>
            <w:vAlign w:val="center"/>
            <w:hideMark/>
          </w:tcPr>
          <w:p w14:paraId="7BDB3BE9"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shd w:val="clear" w:color="auto" w:fill="E2EFD9" w:themeFill="accent6" w:themeFillTint="33"/>
            <w:noWrap/>
            <w:vAlign w:val="center"/>
            <w:hideMark/>
          </w:tcPr>
          <w:p w14:paraId="2496556E"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18,58</w:t>
            </w:r>
          </w:p>
        </w:tc>
        <w:tc>
          <w:tcPr>
            <w:tcW w:w="1114" w:type="pct"/>
            <w:shd w:val="clear" w:color="auto" w:fill="E2EFD9" w:themeFill="accent6" w:themeFillTint="33"/>
            <w:noWrap/>
            <w:vAlign w:val="center"/>
            <w:hideMark/>
          </w:tcPr>
          <w:p w14:paraId="36581323"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11,13</w:t>
            </w:r>
          </w:p>
        </w:tc>
        <w:tc>
          <w:tcPr>
            <w:tcW w:w="753" w:type="pct"/>
            <w:shd w:val="clear" w:color="auto" w:fill="E2EFD9" w:themeFill="accent6" w:themeFillTint="33"/>
            <w:noWrap/>
            <w:vAlign w:val="center"/>
            <w:hideMark/>
          </w:tcPr>
          <w:p w14:paraId="6BE2E5B4"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11,46</w:t>
            </w:r>
          </w:p>
        </w:tc>
        <w:tc>
          <w:tcPr>
            <w:tcW w:w="848" w:type="pct"/>
            <w:shd w:val="clear" w:color="auto" w:fill="E2EFD9" w:themeFill="accent6" w:themeFillTint="33"/>
            <w:noWrap/>
            <w:vAlign w:val="center"/>
            <w:hideMark/>
          </w:tcPr>
          <w:p w14:paraId="7A9308D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21,58</w:t>
            </w:r>
          </w:p>
        </w:tc>
      </w:tr>
      <w:tr w:rsidR="003C2EEA" w:rsidRPr="004A7D8B" w14:paraId="229F8D0E" w14:textId="77777777" w:rsidTr="006F6877">
        <w:trPr>
          <w:trHeight w:val="255"/>
        </w:trPr>
        <w:tc>
          <w:tcPr>
            <w:tcW w:w="380" w:type="pct"/>
            <w:tcBorders>
              <w:bottom w:val="single" w:sz="4" w:space="0" w:color="auto"/>
            </w:tcBorders>
            <w:shd w:val="clear" w:color="auto" w:fill="E2EFD9" w:themeFill="accent6" w:themeFillTint="33"/>
            <w:noWrap/>
            <w:vAlign w:val="center"/>
            <w:hideMark/>
          </w:tcPr>
          <w:p w14:paraId="2177F35E" w14:textId="77777777" w:rsidR="003C2EEA" w:rsidRPr="004A7D8B" w:rsidRDefault="003C2EEA" w:rsidP="006F6877">
            <w:pPr>
              <w:jc w:val="center"/>
              <w:rPr>
                <w:rFonts w:eastAsia="Times New Roman" w:cs="Times New Roman"/>
                <w:bCs/>
                <w:color w:val="000000"/>
                <w:sz w:val="20"/>
                <w:szCs w:val="20"/>
                <w:lang w:eastAsia="pt-BR"/>
              </w:rPr>
            </w:pPr>
            <w:r w:rsidRPr="004A7D8B">
              <w:rPr>
                <w:rFonts w:eastAsia="Times New Roman" w:cs="Times New Roman"/>
                <w:bCs/>
                <w:color w:val="000000"/>
                <w:sz w:val="20"/>
                <w:szCs w:val="20"/>
                <w:lang w:eastAsia="pt-BR"/>
              </w:rPr>
              <w:t>2016</w:t>
            </w:r>
          </w:p>
        </w:tc>
        <w:tc>
          <w:tcPr>
            <w:tcW w:w="946" w:type="pct"/>
            <w:tcBorders>
              <w:bottom w:val="single" w:sz="4" w:space="0" w:color="auto"/>
            </w:tcBorders>
            <w:shd w:val="clear" w:color="auto" w:fill="E2EFD9" w:themeFill="accent6" w:themeFillTint="33"/>
            <w:noWrap/>
            <w:vAlign w:val="center"/>
            <w:hideMark/>
          </w:tcPr>
          <w:p w14:paraId="11C01F2A" w14:textId="77777777" w:rsidR="003C2EEA" w:rsidRPr="004A7D8B" w:rsidRDefault="003C2EEA" w:rsidP="006F6877">
            <w:pPr>
              <w:jc w:val="center"/>
              <w:rPr>
                <w:rFonts w:eastAsia="Calibri" w:cs="Times New Roman"/>
                <w:sz w:val="20"/>
                <w:szCs w:val="20"/>
              </w:rPr>
            </w:pPr>
            <w:r w:rsidRPr="004A7D8B">
              <w:rPr>
                <w:rFonts w:eastAsia="Calibri" w:cs="Times New Roman"/>
                <w:sz w:val="20"/>
                <w:szCs w:val="20"/>
              </w:rPr>
              <w:t>-</w:t>
            </w:r>
          </w:p>
        </w:tc>
        <w:tc>
          <w:tcPr>
            <w:tcW w:w="959" w:type="pct"/>
            <w:tcBorders>
              <w:bottom w:val="single" w:sz="4" w:space="0" w:color="auto"/>
            </w:tcBorders>
            <w:shd w:val="clear" w:color="auto" w:fill="E2EFD9" w:themeFill="accent6" w:themeFillTint="33"/>
            <w:noWrap/>
            <w:vAlign w:val="center"/>
            <w:hideMark/>
          </w:tcPr>
          <w:p w14:paraId="127842B6"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18,58</w:t>
            </w:r>
          </w:p>
        </w:tc>
        <w:tc>
          <w:tcPr>
            <w:tcW w:w="1114" w:type="pct"/>
            <w:tcBorders>
              <w:bottom w:val="single" w:sz="4" w:space="0" w:color="auto"/>
            </w:tcBorders>
            <w:shd w:val="clear" w:color="auto" w:fill="E2EFD9" w:themeFill="accent6" w:themeFillTint="33"/>
            <w:noWrap/>
            <w:vAlign w:val="center"/>
            <w:hideMark/>
          </w:tcPr>
          <w:p w14:paraId="2AA3F94A"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11,13</w:t>
            </w:r>
          </w:p>
        </w:tc>
        <w:tc>
          <w:tcPr>
            <w:tcW w:w="753" w:type="pct"/>
            <w:tcBorders>
              <w:bottom w:val="single" w:sz="4" w:space="0" w:color="auto"/>
            </w:tcBorders>
            <w:shd w:val="clear" w:color="auto" w:fill="E2EFD9" w:themeFill="accent6" w:themeFillTint="33"/>
            <w:noWrap/>
            <w:vAlign w:val="center"/>
            <w:hideMark/>
          </w:tcPr>
          <w:p w14:paraId="6F9F560F"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11,46</w:t>
            </w:r>
          </w:p>
        </w:tc>
        <w:tc>
          <w:tcPr>
            <w:tcW w:w="848" w:type="pct"/>
            <w:tcBorders>
              <w:bottom w:val="single" w:sz="4" w:space="0" w:color="auto"/>
            </w:tcBorders>
            <w:shd w:val="clear" w:color="auto" w:fill="E2EFD9" w:themeFill="accent6" w:themeFillTint="33"/>
            <w:noWrap/>
            <w:vAlign w:val="center"/>
            <w:hideMark/>
          </w:tcPr>
          <w:p w14:paraId="4EB576E8" w14:textId="77777777" w:rsidR="003C2EEA" w:rsidRPr="004A7D8B" w:rsidRDefault="003C2EEA" w:rsidP="006F6877">
            <w:pPr>
              <w:ind w:right="567"/>
              <w:jc w:val="right"/>
              <w:rPr>
                <w:rFonts w:eastAsia="Calibri" w:cs="Times New Roman"/>
                <w:sz w:val="20"/>
                <w:szCs w:val="20"/>
              </w:rPr>
            </w:pPr>
            <w:r w:rsidRPr="004A7D8B">
              <w:rPr>
                <w:rFonts w:eastAsia="Calibri" w:cs="Times New Roman"/>
                <w:sz w:val="20"/>
                <w:szCs w:val="20"/>
              </w:rPr>
              <w:t>21,58</w:t>
            </w:r>
          </w:p>
        </w:tc>
      </w:tr>
    </w:tbl>
    <w:p w14:paraId="5DF325B4" w14:textId="77777777" w:rsidR="003C2EEA" w:rsidRPr="004A7D8B" w:rsidRDefault="003C2EEA" w:rsidP="003C2EEA">
      <w:pPr>
        <w:pStyle w:val="Fonte"/>
        <w:rPr>
          <w:rFonts w:cs="Times New Roman"/>
        </w:rPr>
      </w:pPr>
      <w:r w:rsidRPr="000B3221">
        <w:rPr>
          <w:rFonts w:cs="Times New Roman"/>
          <w:b/>
        </w:rPr>
        <w:t>Fonte:</w:t>
      </w:r>
      <w:r w:rsidRPr="004A7D8B">
        <w:rPr>
          <w:rFonts w:cs="Times New Roman"/>
        </w:rPr>
        <w:t xml:space="preserve"> Elaborado pela autora, a partir das tabelas de vencimentos dos Professores da </w:t>
      </w:r>
      <w:proofErr w:type="spellStart"/>
      <w:r w:rsidRPr="004A7D8B">
        <w:rPr>
          <w:rFonts w:cs="Times New Roman"/>
        </w:rPr>
        <w:t>Seduc</w:t>
      </w:r>
      <w:proofErr w:type="spellEnd"/>
      <w:r w:rsidRPr="004A7D8B">
        <w:rPr>
          <w:rFonts w:cs="Times New Roman"/>
        </w:rPr>
        <w:t>-PI</w:t>
      </w:r>
    </w:p>
    <w:p w14:paraId="53FA5F81" w14:textId="5E660380" w:rsidR="003C2EEA" w:rsidRPr="004A7D8B" w:rsidRDefault="003C2EEA" w:rsidP="003C2EEA">
      <w:pPr>
        <w:pStyle w:val="PargrafodaLista"/>
        <w:rPr>
          <w:rFonts w:cs="Times New Roman"/>
        </w:rPr>
      </w:pPr>
      <w:r w:rsidRPr="004A7D8B">
        <w:rPr>
          <w:rFonts w:cs="Times New Roman"/>
        </w:rPr>
        <w:t>Considerando o nível de f</w:t>
      </w:r>
      <w:r w:rsidR="006B0CA2">
        <w:rPr>
          <w:rFonts w:cs="Times New Roman"/>
        </w:rPr>
        <w:t>ormação do professor, a Tabela 2</w:t>
      </w:r>
      <w:r w:rsidRPr="004A7D8B">
        <w:rPr>
          <w:rFonts w:cs="Times New Roman"/>
        </w:rPr>
        <w:t xml:space="preserve"> mostra como se diferencia o venc</w:t>
      </w:r>
      <w:r w:rsidR="007D2CA5">
        <w:rPr>
          <w:rFonts w:cs="Times New Roman"/>
        </w:rPr>
        <w:t>imento salarial do professor 40</w:t>
      </w:r>
      <w:r w:rsidRPr="004A7D8B">
        <w:rPr>
          <w:rFonts w:cs="Times New Roman"/>
        </w:rPr>
        <w:t>h da Rede Estadual de Ensino do Pi</w:t>
      </w:r>
      <w:r>
        <w:rPr>
          <w:rFonts w:cs="Times New Roman"/>
        </w:rPr>
        <w:t xml:space="preserve">auí </w:t>
      </w:r>
      <w:r>
        <w:rPr>
          <w:rFonts w:cs="Times New Roman"/>
        </w:rPr>
        <w:lastRenderedPageBreak/>
        <w:t>no período de 1996 a 2016. Esta Tabela 6</w:t>
      </w:r>
      <w:r w:rsidRPr="004A7D8B">
        <w:rPr>
          <w:rFonts w:cs="Times New Roman"/>
        </w:rPr>
        <w:t xml:space="preserve"> revela três grupos de análise a saber: a) 1996 a 2001; b) 2002 a 2011; c) 2012 a 2016.</w:t>
      </w:r>
    </w:p>
    <w:p w14:paraId="472EAE08" w14:textId="47528F7D" w:rsidR="003C2EEA" w:rsidRPr="004A7D8B" w:rsidRDefault="003C2EEA" w:rsidP="003C2EEA">
      <w:pPr>
        <w:pStyle w:val="PargrafodaLista"/>
        <w:rPr>
          <w:rFonts w:cs="Times New Roman"/>
        </w:rPr>
      </w:pPr>
      <w:r>
        <w:rPr>
          <w:rFonts w:cs="Times New Roman"/>
        </w:rPr>
        <w:t>Ao analisá-la</w:t>
      </w:r>
      <w:r w:rsidRPr="004A7D8B">
        <w:rPr>
          <w:rFonts w:cs="Times New Roman"/>
        </w:rPr>
        <w:t>, pode-se constatar que</w:t>
      </w:r>
      <w:r w:rsidR="007D2CA5">
        <w:rPr>
          <w:rFonts w:cs="Times New Roman"/>
        </w:rPr>
        <w:t>, n</w:t>
      </w:r>
      <w:r w:rsidRPr="004A7D8B">
        <w:rPr>
          <w:rFonts w:cs="Times New Roman"/>
        </w:rPr>
        <w:t>o primeiro período de 1996 a 2001, os percentuais entre as classes/titulação mantiveram-se constantes, sendo que o maior percentual foi para quem saía do Nível Médio para Licenciatura</w:t>
      </w:r>
      <w:r>
        <w:rPr>
          <w:rFonts w:cs="Times New Roman"/>
        </w:rPr>
        <w:t xml:space="preserve"> (19,39%) e o menor percentual </w:t>
      </w:r>
      <w:r w:rsidRPr="004A7D8B">
        <w:rPr>
          <w:rFonts w:cs="Times New Roman"/>
        </w:rPr>
        <w:t>para quem saia do Mestrado para Doutorado (8,07%).</w:t>
      </w:r>
    </w:p>
    <w:p w14:paraId="3670C986" w14:textId="77777777" w:rsidR="002B0F61" w:rsidRDefault="003C2EEA" w:rsidP="003C2EEA">
      <w:pPr>
        <w:pStyle w:val="PargrafodaLista"/>
        <w:rPr>
          <w:rFonts w:cs="Times New Roman"/>
        </w:rPr>
      </w:pPr>
      <w:r w:rsidRPr="004A7D8B">
        <w:rPr>
          <w:rFonts w:cs="Times New Roman"/>
        </w:rPr>
        <w:t>A série histórica revela que embor</w:t>
      </w:r>
      <w:r>
        <w:rPr>
          <w:rFonts w:cs="Times New Roman"/>
        </w:rPr>
        <w:t>a nos anos de 1996 a 2001 tenha</w:t>
      </w:r>
      <w:r w:rsidRPr="004A7D8B">
        <w:rPr>
          <w:rFonts w:cs="Times New Roman"/>
        </w:rPr>
        <w:t xml:space="preserve"> ocorrido congelamento salarial, o percentual pago ao professor fo</w:t>
      </w:r>
      <w:r>
        <w:rPr>
          <w:rFonts w:cs="Times New Roman"/>
        </w:rPr>
        <w:t xml:space="preserve">i maior na mudança de classe do </w:t>
      </w:r>
      <w:r w:rsidRPr="004A7D8B">
        <w:rPr>
          <w:rFonts w:cs="Times New Roman"/>
        </w:rPr>
        <w:t>professor de nível Médio para nível Superior. Portanto, o professor que saía do nível Médio e obtinha Licenciatura recebia um reajuste de 19,39%. Enquanto o professor que saiu da Graduação para Especialização, e</w:t>
      </w:r>
      <w:r w:rsidR="007D2CA5">
        <w:rPr>
          <w:rFonts w:cs="Times New Roman"/>
        </w:rPr>
        <w:t>levava seu vencimento em 10,23%;</w:t>
      </w:r>
      <w:r>
        <w:rPr>
          <w:rFonts w:cs="Times New Roman"/>
        </w:rPr>
        <w:t xml:space="preserve"> </w:t>
      </w:r>
      <w:r w:rsidRPr="004A7D8B">
        <w:rPr>
          <w:rFonts w:cs="Times New Roman"/>
        </w:rPr>
        <w:t xml:space="preserve">o professor que saiu da </w:t>
      </w:r>
      <w:r w:rsidRPr="0041202A">
        <w:rPr>
          <w:rFonts w:cs="Times New Roman"/>
        </w:rPr>
        <w:t>Especialização para o Mestrado obtinha um percentual de 14,69% a mais; e por fim, o professor que sai</w:t>
      </w:r>
      <w:r w:rsidR="007D2CA5" w:rsidRPr="0041202A">
        <w:rPr>
          <w:rFonts w:cs="Times New Roman"/>
        </w:rPr>
        <w:t>a</w:t>
      </w:r>
      <w:r w:rsidRPr="0041202A">
        <w:rPr>
          <w:rFonts w:cs="Times New Roman"/>
        </w:rPr>
        <w:t xml:space="preserve"> do Mestrado para o Doutorado elevava seu vencimento em 8,07%</w:t>
      </w:r>
      <w:r w:rsidR="0041202A" w:rsidRPr="0041202A">
        <w:rPr>
          <w:rFonts w:cs="Times New Roman"/>
        </w:rPr>
        <w:t>.</w:t>
      </w:r>
    </w:p>
    <w:p w14:paraId="64D73E66" w14:textId="1FEFEAE7" w:rsidR="003C2EEA" w:rsidRPr="003A329D" w:rsidRDefault="0035157B" w:rsidP="003C2EEA">
      <w:pPr>
        <w:pStyle w:val="PargrafodaLista"/>
        <w:rPr>
          <w:rFonts w:cs="Times New Roman"/>
        </w:rPr>
      </w:pPr>
      <w:r w:rsidRPr="003A329D">
        <w:rPr>
          <w:rFonts w:cs="Times New Roman"/>
        </w:rPr>
        <w:t xml:space="preserve"> Devido ao longo período de congelamento de 1996 a 2001, “as mobilizações tiveram como uma das conquistas o retorno do valor pago ao segundo turno do professor com jornada de 40h”, isso porque, o professor recebia dois vencimentos, com valores iguais, para cada jornada de trabalho de 20h”, destacam Sales, Cruz e Silva (2014, p. 9). No ano de 2002, a política de reajuste salarial dos docentes sofre mudança. Mudança essa que vai até 2004, quando o segundo turno representou apenas 51% do valor pago ao primeiro turno, esclarecem os autores.    </w:t>
      </w:r>
    </w:p>
    <w:p w14:paraId="3081B290" w14:textId="5D7537B8" w:rsidR="003C2EEA" w:rsidRPr="0041202A" w:rsidRDefault="003C2EEA" w:rsidP="003C2EEA">
      <w:pPr>
        <w:pStyle w:val="PargrafodaLista"/>
        <w:rPr>
          <w:rFonts w:cs="Times New Roman"/>
        </w:rPr>
      </w:pPr>
      <w:r w:rsidRPr="003A329D">
        <w:rPr>
          <w:rFonts w:cs="Times New Roman"/>
        </w:rPr>
        <w:t xml:space="preserve">O segundo período, </w:t>
      </w:r>
      <w:r w:rsidR="007D2CA5" w:rsidRPr="003A329D">
        <w:rPr>
          <w:rFonts w:cs="Times New Roman"/>
        </w:rPr>
        <w:t xml:space="preserve">inicia em </w:t>
      </w:r>
      <w:r w:rsidRPr="0041202A">
        <w:rPr>
          <w:rFonts w:cs="Times New Roman"/>
        </w:rPr>
        <w:t>2002 (ano que ocorreu último concurso para professor sem formação superior)</w:t>
      </w:r>
      <w:r w:rsidR="007D2CA5" w:rsidRPr="0041202A">
        <w:rPr>
          <w:rFonts w:cs="Times New Roman"/>
        </w:rPr>
        <w:t xml:space="preserve"> e termina em 2011. </w:t>
      </w:r>
      <w:r w:rsidRPr="0041202A">
        <w:rPr>
          <w:rFonts w:cs="Times New Roman"/>
        </w:rPr>
        <w:t xml:space="preserve"> </w:t>
      </w:r>
      <w:r w:rsidR="007D2CA5" w:rsidRPr="0041202A">
        <w:rPr>
          <w:rFonts w:cs="Times New Roman"/>
        </w:rPr>
        <w:t>Nesse período, observa-se os menores percentuais entre as formações, caracterizando-se como achatamento na carreira, tendo o ano de 2006 apresentado os menores percentuais entre as classes de formação. Nesse período, ao contrário, observa-se ainda vantagem para quem saía do</w:t>
      </w:r>
      <w:r w:rsidRPr="0041202A">
        <w:rPr>
          <w:rFonts w:cs="Times New Roman"/>
        </w:rPr>
        <w:t xml:space="preserve"> Mestrado para o Doutorado</w:t>
      </w:r>
      <w:r w:rsidR="007D2CA5" w:rsidRPr="0041202A">
        <w:rPr>
          <w:rFonts w:cs="Times New Roman"/>
        </w:rPr>
        <w:t xml:space="preserve">, especialmente </w:t>
      </w:r>
      <w:r w:rsidRPr="0041202A">
        <w:rPr>
          <w:rFonts w:cs="Times New Roman"/>
        </w:rPr>
        <w:t>nos anos 2007 e 2008,</w:t>
      </w:r>
      <w:r w:rsidR="007D2CA5" w:rsidRPr="0041202A">
        <w:rPr>
          <w:rFonts w:cs="Times New Roman"/>
        </w:rPr>
        <w:t xml:space="preserve"> registrando-se </w:t>
      </w:r>
      <w:r w:rsidRPr="0041202A">
        <w:rPr>
          <w:rFonts w:cs="Times New Roman"/>
        </w:rPr>
        <w:t xml:space="preserve">elevação no vencimento </w:t>
      </w:r>
      <w:r w:rsidR="007D2CA5" w:rsidRPr="0041202A">
        <w:rPr>
          <w:rFonts w:cs="Times New Roman"/>
        </w:rPr>
        <w:t xml:space="preserve">de </w:t>
      </w:r>
      <w:r w:rsidRPr="0041202A">
        <w:rPr>
          <w:rFonts w:cs="Times New Roman"/>
        </w:rPr>
        <w:t>36%</w:t>
      </w:r>
      <w:r w:rsidR="007D2CA5" w:rsidRPr="0041202A">
        <w:rPr>
          <w:rFonts w:cs="Times New Roman"/>
        </w:rPr>
        <w:t xml:space="preserve"> para quem saía do Mestrado para o Doutorado. </w:t>
      </w:r>
      <w:r w:rsidRPr="0041202A">
        <w:rPr>
          <w:rFonts w:cs="Times New Roman"/>
        </w:rPr>
        <w:t xml:space="preserve">Diferentemente dos demais professores que </w:t>
      </w:r>
      <w:r w:rsidR="007D2CA5" w:rsidRPr="0041202A">
        <w:rPr>
          <w:rFonts w:cs="Times New Roman"/>
        </w:rPr>
        <w:t xml:space="preserve">apresentaram </w:t>
      </w:r>
      <w:r w:rsidRPr="0041202A">
        <w:rPr>
          <w:rFonts w:cs="Times New Roman"/>
        </w:rPr>
        <w:t xml:space="preserve">nesse mesmo período, um percentual com queda abaixo de 18% entre as demais titulações. O menor percentual é registrado no ano de 2005, para o professor que </w:t>
      </w:r>
      <w:r w:rsidR="007D2CA5" w:rsidRPr="0041202A">
        <w:rPr>
          <w:rFonts w:cs="Times New Roman"/>
        </w:rPr>
        <w:t>saía d</w:t>
      </w:r>
      <w:r w:rsidRPr="0041202A">
        <w:rPr>
          <w:rFonts w:cs="Times New Roman"/>
        </w:rPr>
        <w:t xml:space="preserve">o Ensino Médio para </w:t>
      </w:r>
      <w:r w:rsidR="007D2CA5" w:rsidRPr="0041202A">
        <w:rPr>
          <w:rFonts w:cs="Times New Roman"/>
        </w:rPr>
        <w:t>Graduação</w:t>
      </w:r>
      <w:r w:rsidRPr="0041202A">
        <w:rPr>
          <w:rFonts w:cs="Times New Roman"/>
        </w:rPr>
        <w:t xml:space="preserve"> </w:t>
      </w:r>
      <w:r w:rsidR="007D2CA5" w:rsidRPr="0041202A">
        <w:rPr>
          <w:rFonts w:cs="Times New Roman"/>
        </w:rPr>
        <w:t>(</w:t>
      </w:r>
      <w:r w:rsidRPr="0041202A">
        <w:rPr>
          <w:rFonts w:cs="Times New Roman"/>
        </w:rPr>
        <w:t>1,65%</w:t>
      </w:r>
      <w:r w:rsidR="007D2CA5" w:rsidRPr="0041202A">
        <w:rPr>
          <w:rFonts w:cs="Times New Roman"/>
        </w:rPr>
        <w:t>)</w:t>
      </w:r>
      <w:r w:rsidRPr="0041202A">
        <w:rPr>
          <w:rFonts w:cs="Times New Roman"/>
        </w:rPr>
        <w:t xml:space="preserve">. Em 2010, o </w:t>
      </w:r>
      <w:r w:rsidRPr="0041202A">
        <w:rPr>
          <w:rFonts w:cs="Times New Roman"/>
        </w:rPr>
        <w:lastRenderedPageBreak/>
        <w:t xml:space="preserve">que se evidencia foi uma tendência a se valorizar mais o professor que saiu do Ensino Médio para Graduação, em 22,55%. </w:t>
      </w:r>
    </w:p>
    <w:p w14:paraId="7AABFA2D" w14:textId="74E77864" w:rsidR="003C2EEA" w:rsidRPr="0041202A" w:rsidRDefault="003C2EEA" w:rsidP="003C2EEA">
      <w:pPr>
        <w:pStyle w:val="PargrafodaLista"/>
        <w:rPr>
          <w:rFonts w:cs="Times New Roman"/>
        </w:rPr>
      </w:pPr>
      <w:r w:rsidRPr="0041202A">
        <w:rPr>
          <w:rFonts w:cs="Times New Roman"/>
        </w:rPr>
        <w:t xml:space="preserve">No período de 2012 a 2016, os percentuais </w:t>
      </w:r>
      <w:r w:rsidR="00D271D9" w:rsidRPr="0041202A">
        <w:rPr>
          <w:rFonts w:cs="Times New Roman"/>
        </w:rPr>
        <w:t>entre as classes mantiveram-se constantes, o</w:t>
      </w:r>
      <w:r w:rsidRPr="0041202A">
        <w:rPr>
          <w:rFonts w:cs="Times New Roman"/>
        </w:rPr>
        <w:t>s maiores percentuais entre as classes foram para o professor que sa</w:t>
      </w:r>
      <w:r w:rsidR="00D271D9" w:rsidRPr="0041202A">
        <w:rPr>
          <w:rFonts w:cs="Times New Roman"/>
        </w:rPr>
        <w:t>ía</w:t>
      </w:r>
      <w:r w:rsidRPr="0041202A">
        <w:rPr>
          <w:rFonts w:cs="Times New Roman"/>
        </w:rPr>
        <w:t xml:space="preserve"> do Mestrado para Doutorado </w:t>
      </w:r>
      <w:r w:rsidR="00D271D9" w:rsidRPr="0041202A">
        <w:rPr>
          <w:rFonts w:cs="Times New Roman"/>
        </w:rPr>
        <w:t>(</w:t>
      </w:r>
      <w:r w:rsidRPr="0041202A">
        <w:rPr>
          <w:rFonts w:cs="Times New Roman"/>
        </w:rPr>
        <w:t>2</w:t>
      </w:r>
      <w:r w:rsidR="00D271D9" w:rsidRPr="0041202A">
        <w:rPr>
          <w:rFonts w:cs="Times New Roman"/>
        </w:rPr>
        <w:t>1</w:t>
      </w:r>
      <w:r w:rsidRPr="0041202A">
        <w:rPr>
          <w:rFonts w:cs="Times New Roman"/>
        </w:rPr>
        <w:t>,</w:t>
      </w:r>
      <w:r w:rsidR="00D271D9" w:rsidRPr="0041202A">
        <w:rPr>
          <w:rFonts w:cs="Times New Roman"/>
        </w:rPr>
        <w:t>5</w:t>
      </w:r>
      <w:r w:rsidRPr="0041202A">
        <w:rPr>
          <w:rFonts w:cs="Times New Roman"/>
        </w:rPr>
        <w:t>8%</w:t>
      </w:r>
      <w:r w:rsidR="00D271D9" w:rsidRPr="0041202A">
        <w:rPr>
          <w:rFonts w:cs="Times New Roman"/>
        </w:rPr>
        <w:t>)</w:t>
      </w:r>
      <w:r w:rsidRPr="0041202A">
        <w:rPr>
          <w:rFonts w:cs="Times New Roman"/>
        </w:rPr>
        <w:t xml:space="preserve"> e para o professor que sa</w:t>
      </w:r>
      <w:r w:rsidR="00D271D9" w:rsidRPr="0041202A">
        <w:rPr>
          <w:rFonts w:cs="Times New Roman"/>
        </w:rPr>
        <w:t>ía</w:t>
      </w:r>
      <w:r w:rsidRPr="0041202A">
        <w:rPr>
          <w:rFonts w:cs="Times New Roman"/>
        </w:rPr>
        <w:t xml:space="preserve"> do Nível Médio </w:t>
      </w:r>
      <w:r w:rsidR="00D271D9" w:rsidRPr="0041202A">
        <w:rPr>
          <w:rFonts w:cs="Times New Roman"/>
        </w:rPr>
        <w:t xml:space="preserve">e obtinha </w:t>
      </w:r>
      <w:r w:rsidRPr="0041202A">
        <w:rPr>
          <w:rFonts w:cs="Times New Roman"/>
        </w:rPr>
        <w:t xml:space="preserve">Licenciatura </w:t>
      </w:r>
      <w:r w:rsidR="00D271D9" w:rsidRPr="0041202A">
        <w:rPr>
          <w:rFonts w:cs="Times New Roman"/>
        </w:rPr>
        <w:t>auferia um</w:t>
      </w:r>
      <w:r w:rsidRPr="0041202A">
        <w:rPr>
          <w:rFonts w:cs="Times New Roman"/>
        </w:rPr>
        <w:t xml:space="preserve"> percentual de crescimento </w:t>
      </w:r>
      <w:r w:rsidR="00D271D9" w:rsidRPr="0041202A">
        <w:rPr>
          <w:rFonts w:cs="Times New Roman"/>
        </w:rPr>
        <w:t xml:space="preserve">de </w:t>
      </w:r>
      <w:r w:rsidRPr="0041202A">
        <w:rPr>
          <w:rFonts w:cs="Times New Roman"/>
        </w:rPr>
        <w:t>18,58%.</w:t>
      </w:r>
    </w:p>
    <w:p w14:paraId="32A99592" w14:textId="7254783E" w:rsidR="003C2EEA" w:rsidRDefault="003C2EEA" w:rsidP="003C2EEA">
      <w:pPr>
        <w:pStyle w:val="PargrafodaLista"/>
        <w:rPr>
          <w:rFonts w:cs="Times New Roman"/>
        </w:rPr>
      </w:pPr>
      <w:r w:rsidRPr="0041202A">
        <w:rPr>
          <w:rFonts w:cs="Times New Roman"/>
        </w:rPr>
        <w:t>Destaque-se que, embora o professor da Rede Estadual de Ensino no Piauí não tivesse tido reajuste salarial, de 1996 a 2001, o estímulo para o professor leigo obter seu curso de Licenciatura foi grande</w:t>
      </w:r>
      <w:r w:rsidR="0041202A" w:rsidRPr="0041202A">
        <w:rPr>
          <w:rFonts w:cs="Times New Roman"/>
        </w:rPr>
        <w:t>.</w:t>
      </w:r>
      <w:r w:rsidRPr="0041202A">
        <w:rPr>
          <w:rFonts w:cs="Times New Roman"/>
        </w:rPr>
        <w:t xml:space="preserve"> </w:t>
      </w:r>
      <w:r w:rsidR="00B95755" w:rsidRPr="0041202A">
        <w:rPr>
          <w:rFonts w:cs="Times New Roman"/>
        </w:rPr>
        <w:t xml:space="preserve">O </w:t>
      </w:r>
      <w:r w:rsidRPr="0041202A">
        <w:rPr>
          <w:rFonts w:cs="Times New Roman"/>
        </w:rPr>
        <w:t>estímulo pela formação</w:t>
      </w:r>
      <w:r w:rsidR="00B95755" w:rsidRPr="0041202A">
        <w:rPr>
          <w:rFonts w:cs="Times New Roman"/>
        </w:rPr>
        <w:t>,</w:t>
      </w:r>
      <w:r w:rsidRPr="0041202A">
        <w:rPr>
          <w:rFonts w:cs="Times New Roman"/>
        </w:rPr>
        <w:t xml:space="preserve"> em nível superior no período de 1996 a 2001, </w:t>
      </w:r>
      <w:r w:rsidR="00B95755" w:rsidRPr="0041202A">
        <w:rPr>
          <w:rFonts w:cs="Times New Roman"/>
        </w:rPr>
        <w:t xml:space="preserve">foi motivado pela </w:t>
      </w:r>
      <w:r w:rsidRPr="0041202A">
        <w:rPr>
          <w:rFonts w:cs="Times New Roman"/>
        </w:rPr>
        <w:t xml:space="preserve">exigência </w:t>
      </w:r>
      <w:r w:rsidR="00B95755" w:rsidRPr="0041202A">
        <w:rPr>
          <w:rFonts w:cs="Times New Roman"/>
        </w:rPr>
        <w:t xml:space="preserve">da </w:t>
      </w:r>
      <w:r w:rsidRPr="0041202A">
        <w:rPr>
          <w:rFonts w:cs="Times New Roman"/>
        </w:rPr>
        <w:t>LDB/96, que estabelecia o prazo de até o fim da década da educação</w:t>
      </w:r>
      <w:r w:rsidRPr="0041202A">
        <w:rPr>
          <w:rStyle w:val="Refdenotaderodap"/>
          <w:rFonts w:cs="Times New Roman"/>
        </w:rPr>
        <w:footnoteReference w:id="5"/>
      </w:r>
      <w:r w:rsidRPr="0041202A">
        <w:rPr>
          <w:rFonts w:cs="Times New Roman"/>
        </w:rPr>
        <w:t xml:space="preserve"> para que o professor tivesse tal formação. No período em questão, a </w:t>
      </w:r>
      <w:proofErr w:type="spellStart"/>
      <w:r w:rsidRPr="0041202A">
        <w:rPr>
          <w:rFonts w:cs="Times New Roman"/>
        </w:rPr>
        <w:t>Seduc</w:t>
      </w:r>
      <w:proofErr w:type="spellEnd"/>
      <w:r w:rsidRPr="0041202A">
        <w:rPr>
          <w:rFonts w:cs="Times New Roman"/>
        </w:rPr>
        <w:t xml:space="preserve"> fez parceria através de convênios com a Universidade Estadual do Piauí (UESPI) para graduar seus profess</w:t>
      </w:r>
      <w:r w:rsidRPr="004A7D8B">
        <w:rPr>
          <w:rFonts w:cs="Times New Roman"/>
        </w:rPr>
        <w:t xml:space="preserve">ores que apenas possuíam nível Médio, cujos recursos advinham do Fundef. </w:t>
      </w:r>
    </w:p>
    <w:p w14:paraId="43559AFF" w14:textId="77777777" w:rsidR="003C2EEA" w:rsidRPr="004A7D8B" w:rsidRDefault="003C2EEA" w:rsidP="003C2EEA">
      <w:pPr>
        <w:pStyle w:val="PargrafodaLista"/>
        <w:rPr>
          <w:rFonts w:cs="Times New Roman"/>
        </w:rPr>
      </w:pPr>
      <w:r w:rsidRPr="004A7D8B">
        <w:rPr>
          <w:rFonts w:cs="Times New Roman"/>
        </w:rPr>
        <w:t xml:space="preserve">Em 2004, uma ação de integralização forçou o Governo a fazer acordo, embora que de forma gradativa, atingindo 74% da integralização do vencimento básico e somente em 2006 completa 100% em relação ao segundo turno. </w:t>
      </w:r>
    </w:p>
    <w:p w14:paraId="462807B8" w14:textId="77777777" w:rsidR="003C2EEA" w:rsidRPr="004A7D8B" w:rsidRDefault="003C2EEA" w:rsidP="003C2EEA">
      <w:pPr>
        <w:pStyle w:val="PargrafodaLista"/>
        <w:rPr>
          <w:rFonts w:cs="Times New Roman"/>
        </w:rPr>
      </w:pPr>
      <w:r w:rsidRPr="004A7D8B">
        <w:rPr>
          <w:rFonts w:cs="Times New Roman"/>
        </w:rPr>
        <w:t>Destaque-se que, em 2006, foi o ano da aprovação da Lei Complementar nº 21, de julho de 2006, que revoga o Estatuto do Magistério de 1988, cujos reflexos só foram percebidos no ano seguinte (2007). Vale lembrar que, em 2007, a Progressão funcional dos professores foi incorporada ao Vencimento</w:t>
      </w:r>
      <w:r>
        <w:rPr>
          <w:rFonts w:cs="Times New Roman"/>
        </w:rPr>
        <w:t xml:space="preserve"> Salarial, para elevar o valor </w:t>
      </w:r>
      <w:r w:rsidRPr="004A7D8B">
        <w:rPr>
          <w:rFonts w:cs="Times New Roman"/>
        </w:rPr>
        <w:t>do vencimento dos professores.</w:t>
      </w:r>
    </w:p>
    <w:p w14:paraId="08BD0AF1" w14:textId="77777777" w:rsidR="003C2EEA" w:rsidRPr="004A7D8B" w:rsidRDefault="003C2EEA" w:rsidP="003C2EEA">
      <w:pPr>
        <w:pStyle w:val="PargrafodaLista"/>
        <w:rPr>
          <w:rFonts w:cs="Times New Roman"/>
        </w:rPr>
      </w:pPr>
      <w:r w:rsidRPr="004A7D8B">
        <w:rPr>
          <w:rFonts w:cs="Times New Roman"/>
        </w:rPr>
        <w:t xml:space="preserve">Ademais, a Lei 11.738/08 (Lei do Piso) ficou sem aplicabilidade legal nos estados e municípios, aguardando a decisão judicial, de 2008 a 2010. Segundo Sales, Cruz e Silva (2014, p. 9), “a pressão por reajuste foi motivada pela Lei do Piso e da forte demanda sindical por meio de paralisação e uma greve de 22 dias”, esses fatores forçam o governo piauiense “a elevar o vencimento salarial do professor 40h com Magistério no início de carreira de R$780,00 (2007) para R$ 840,00 (2008) com vistas a se aproximar </w:t>
      </w:r>
      <w:r w:rsidRPr="004A7D8B">
        <w:rPr>
          <w:rFonts w:cs="Times New Roman"/>
        </w:rPr>
        <w:lastRenderedPageBreak/>
        <w:t xml:space="preserve">do valor estabelecido pela Lei do Piso”. Valor este definido em R$ 950,00 para os anos 2008 e 2009.    </w:t>
      </w:r>
    </w:p>
    <w:p w14:paraId="57598502" w14:textId="77777777" w:rsidR="003C2EEA" w:rsidRPr="004A7D8B" w:rsidRDefault="003C2EEA" w:rsidP="003C2EEA">
      <w:pPr>
        <w:pStyle w:val="PargrafodaLista"/>
        <w:rPr>
          <w:rFonts w:cs="Times New Roman"/>
        </w:rPr>
      </w:pPr>
      <w:r w:rsidRPr="004A7D8B">
        <w:rPr>
          <w:rFonts w:cs="Times New Roman"/>
        </w:rPr>
        <w:t>Em 2009, o Governo Wellington Dias reajustou o vencimento do professor para R$930,00, ficando R$20,00 abaixo do Piso Salarial Profissional Nacional para os Profissionais do Magistério Público da Educação Básica. A pressão continuou em 2010 para que a Lei fosse cumprida, levando o Governo piauiense a aprovar em 23 de março de 2010, a Lei Complementar nº 152 que regulamentou o piso salarial estadual para os profissionais do magistério público da educação básica e estabeleceu o seguinte valor em seu Art. 2º:</w:t>
      </w:r>
    </w:p>
    <w:p w14:paraId="2050862E" w14:textId="77777777" w:rsidR="003C2EEA" w:rsidRPr="004A7D8B" w:rsidRDefault="003C2EEA" w:rsidP="003C2EEA">
      <w:pPr>
        <w:pStyle w:val="Citao"/>
        <w:rPr>
          <w:rFonts w:cs="Times New Roman"/>
        </w:rPr>
      </w:pPr>
      <w:r w:rsidRPr="004A7D8B">
        <w:rPr>
          <w:rFonts w:cs="Times New Roman"/>
        </w:rPr>
        <w:t>O piso salarial profissional estadual para os profissionais do magistério público da educação básica será de R$ 1.024,68 (um mil e vinte e quatro reais e sessenta e oito centavos) mensais, para a formação em nível médio, na modalidade Normal, conforme previsto no art. 62 da Lei nº 9.394, de 20 de dezembro de 1996, que estabelece as diretrizes e bases da educação nacional (PIAUÍ, 2010, p.1).</w:t>
      </w:r>
    </w:p>
    <w:p w14:paraId="4C384E21" w14:textId="77777777" w:rsidR="00C85420" w:rsidRPr="001270EE" w:rsidRDefault="003C2EEA" w:rsidP="001270EE">
      <w:pPr>
        <w:pStyle w:val="PargrafodaLista"/>
        <w:rPr>
          <w:rFonts w:eastAsia="Calibri" w:cs="Times New Roman"/>
        </w:rPr>
      </w:pPr>
      <w:r>
        <w:rPr>
          <w:rFonts w:cs="Times New Roman"/>
        </w:rPr>
        <w:t>A</w:t>
      </w:r>
      <w:r w:rsidRPr="004A7D8B">
        <w:rPr>
          <w:rFonts w:cs="Times New Roman"/>
        </w:rPr>
        <w:t xml:space="preserve"> LC</w:t>
      </w:r>
      <w:r>
        <w:rPr>
          <w:rFonts w:cs="Times New Roman"/>
        </w:rPr>
        <w:t>/2010</w:t>
      </w:r>
      <w:r w:rsidRPr="004A7D8B">
        <w:rPr>
          <w:rFonts w:cs="Times New Roman"/>
        </w:rPr>
        <w:t xml:space="preserve"> determina o Piso salarial do professor e o torna compatível ao Piso Salarial Profissional Nacional para os Profissionais do Magistério Público da Educação Básica. Vale ressaltar que, em 2011, a partir de 27 de abril, a Lei do Piso passou a ser aplicável após o Supremo Tribunal Federal (STF) ter julgado </w:t>
      </w:r>
      <w:r>
        <w:rPr>
          <w:rFonts w:cs="Times New Roman"/>
        </w:rPr>
        <w:t>a</w:t>
      </w:r>
      <w:r w:rsidRPr="004A7D8B">
        <w:rPr>
          <w:rFonts w:cs="Times New Roman"/>
        </w:rPr>
        <w:t xml:space="preserve"> </w:t>
      </w:r>
      <w:r w:rsidRPr="00634036">
        <w:rPr>
          <w:rFonts w:cs="Times New Roman"/>
          <w:szCs w:val="24"/>
          <w:shd w:val="clear" w:color="auto" w:fill="FFFFFF"/>
        </w:rPr>
        <w:t>Ação Direta de Inconstitucionalidade</w:t>
      </w:r>
      <w:r>
        <w:rPr>
          <w:rFonts w:cs="Times New Roman"/>
          <w:szCs w:val="24"/>
          <w:shd w:val="clear" w:color="auto" w:fill="FFFFFF"/>
        </w:rPr>
        <w:t xml:space="preserve"> (</w:t>
      </w:r>
      <w:r w:rsidRPr="00634036">
        <w:rPr>
          <w:rFonts w:cs="Times New Roman"/>
        </w:rPr>
        <w:t xml:space="preserve">ADIN </w:t>
      </w:r>
      <w:r>
        <w:rPr>
          <w:rFonts w:cs="Times New Roman"/>
        </w:rPr>
        <w:t>nº</w:t>
      </w:r>
      <w:r w:rsidRPr="004A7D8B">
        <w:rPr>
          <w:rFonts w:cs="Times New Roman"/>
        </w:rPr>
        <w:t xml:space="preserve">. </w:t>
      </w:r>
      <w:r>
        <w:rPr>
          <w:rFonts w:cs="Times New Roman"/>
        </w:rPr>
        <w:t>4167).</w:t>
      </w:r>
    </w:p>
    <w:p w14:paraId="271A2367" w14:textId="77777777" w:rsidR="00D064A0" w:rsidRPr="00D064A0" w:rsidRDefault="001270EE" w:rsidP="00D064A0">
      <w:pPr>
        <w:jc w:val="left"/>
        <w:rPr>
          <w:rFonts w:eastAsia="Times New Roman" w:cs="Times New Roman"/>
          <w:b/>
          <w:szCs w:val="24"/>
        </w:rPr>
      </w:pPr>
      <w:r>
        <w:rPr>
          <w:rFonts w:eastAsia="Times New Roman" w:cs="Times New Roman"/>
          <w:b/>
          <w:szCs w:val="24"/>
        </w:rPr>
        <w:t xml:space="preserve">À GUISA DE </w:t>
      </w:r>
      <w:r w:rsidR="00D064A0" w:rsidRPr="00D064A0">
        <w:rPr>
          <w:rFonts w:eastAsia="Times New Roman" w:cs="Times New Roman"/>
          <w:b/>
          <w:szCs w:val="24"/>
        </w:rPr>
        <w:t>CONCLUSÕES</w:t>
      </w:r>
    </w:p>
    <w:p w14:paraId="00E1E9A9" w14:textId="77777777" w:rsidR="002957EA" w:rsidRDefault="00D064A0" w:rsidP="00D064A0">
      <w:pPr>
        <w:spacing w:line="360" w:lineRule="auto"/>
        <w:rPr>
          <w:rFonts w:cs="Times New Roman"/>
          <w:szCs w:val="13"/>
          <w:shd w:val="clear" w:color="auto" w:fill="FFFFFF"/>
        </w:rPr>
      </w:pPr>
      <w:r w:rsidRPr="00D064A0">
        <w:rPr>
          <w:rFonts w:cs="Times New Roman"/>
          <w:szCs w:val="13"/>
          <w:shd w:val="clear" w:color="auto" w:fill="FFFFFF"/>
        </w:rPr>
        <w:tab/>
      </w:r>
    </w:p>
    <w:p w14:paraId="03E0734F" w14:textId="44CA5CFE" w:rsidR="00D064A0" w:rsidRDefault="002957EA" w:rsidP="00D064A0">
      <w:pPr>
        <w:spacing w:line="360" w:lineRule="auto"/>
        <w:rPr>
          <w:rFonts w:cs="Times New Roman"/>
          <w:szCs w:val="13"/>
          <w:shd w:val="clear" w:color="auto" w:fill="FFFFFF"/>
        </w:rPr>
      </w:pPr>
      <w:r>
        <w:rPr>
          <w:rFonts w:cs="Times New Roman"/>
          <w:szCs w:val="13"/>
          <w:shd w:val="clear" w:color="auto" w:fill="FFFFFF"/>
        </w:rPr>
        <w:tab/>
      </w:r>
      <w:r w:rsidR="00D064A0" w:rsidRPr="00D064A0">
        <w:rPr>
          <w:rFonts w:cs="Times New Roman"/>
          <w:szCs w:val="13"/>
          <w:shd w:val="clear" w:color="auto" w:fill="FFFFFF"/>
        </w:rPr>
        <w:t>Fica evidente, ao longo da série histórica analisada, que os professores tiveram seus vencimentos salariais visivelmente achatados no período de 2003 a 2006, sendo que em 2005 o achatamento atingiu seu valor mais crítico, pois, praticamente não havia diferenciação nos vencimento</w:t>
      </w:r>
      <w:r>
        <w:rPr>
          <w:rFonts w:cs="Times New Roman"/>
          <w:szCs w:val="13"/>
          <w:shd w:val="clear" w:color="auto" w:fill="FFFFFF"/>
        </w:rPr>
        <w:t>s entre as classes de formação.</w:t>
      </w:r>
    </w:p>
    <w:p w14:paraId="225E5BE2" w14:textId="77777777" w:rsidR="002957EA" w:rsidRDefault="002957EA" w:rsidP="00D064A0">
      <w:pPr>
        <w:spacing w:line="360" w:lineRule="auto"/>
        <w:rPr>
          <w:rFonts w:cs="Times New Roman"/>
          <w:szCs w:val="13"/>
          <w:shd w:val="clear" w:color="auto" w:fill="FFFFFF"/>
        </w:rPr>
      </w:pPr>
    </w:p>
    <w:p w14:paraId="2DC789AA" w14:textId="77777777" w:rsidR="00B95755" w:rsidRDefault="00B95755" w:rsidP="00D064A0">
      <w:pPr>
        <w:spacing w:line="360" w:lineRule="auto"/>
        <w:rPr>
          <w:rFonts w:cs="Times New Roman"/>
          <w:szCs w:val="13"/>
          <w:shd w:val="clear" w:color="auto" w:fill="FFFFFF"/>
        </w:rPr>
      </w:pPr>
    </w:p>
    <w:p w14:paraId="54B45931" w14:textId="77777777" w:rsidR="00D064A0" w:rsidRPr="00D064A0" w:rsidRDefault="00D064A0" w:rsidP="00D064A0">
      <w:pPr>
        <w:spacing w:line="360" w:lineRule="auto"/>
        <w:ind w:firstLine="708"/>
        <w:rPr>
          <w:rFonts w:cs="Times New Roman"/>
        </w:rPr>
      </w:pPr>
      <w:r w:rsidRPr="00D064A0">
        <w:rPr>
          <w:rFonts w:cs="Times New Roman"/>
        </w:rPr>
        <w:lastRenderedPageBreak/>
        <w:t>Em relação ao efeito da Lei do Piso no período (2012 a 2016)</w:t>
      </w:r>
      <w:r w:rsidRPr="00D064A0">
        <w:rPr>
          <w:rFonts w:cs="Times New Roman"/>
          <w:vertAlign w:val="superscript"/>
        </w:rPr>
        <w:footnoteReference w:id="6"/>
      </w:r>
      <w:r w:rsidRPr="00D064A0">
        <w:rPr>
          <w:rFonts w:cs="Times New Roman"/>
        </w:rPr>
        <w:t>, destaca-se a existência de uma data base para os reajustes (em janeiro), bem como o fato de, até o último ano da série histórica (2016), o Governo ter repassado o reajuste integral como estabelece a Lei, embora conseguido através de muita mobilização sindical, pois o Governo todo ano apresenta a proposta de dividir o reajuste em 6 (seis) parcelas, tendo como resultado greves todo início de ano.</w:t>
      </w:r>
    </w:p>
    <w:p w14:paraId="25CE8F2F" w14:textId="77777777" w:rsidR="00D064A0" w:rsidRPr="00D064A0" w:rsidRDefault="00D064A0" w:rsidP="00D064A0">
      <w:pPr>
        <w:spacing w:line="360" w:lineRule="auto"/>
        <w:ind w:firstLine="708"/>
        <w:rPr>
          <w:rFonts w:cs="Times New Roman"/>
        </w:rPr>
      </w:pPr>
      <w:r w:rsidRPr="00D064A0">
        <w:rPr>
          <w:rFonts w:cs="Times New Roman"/>
        </w:rPr>
        <w:t xml:space="preserve">Portanto, a relação entre o vencimento salarial e a formação dos professores, no geral, apresenta uma boa diferenciação percentual, revelando hierarquia entre as classes de formação, especialmente nos últimos 5 anos da série histórica (2012 a 2016). Nesse período, verifica-se vantagens percentuais constantes no vencimento do professor que mudava de classe formação: nível médio, graduação, especialização, mestrado e doutorado. </w:t>
      </w:r>
    </w:p>
    <w:p w14:paraId="0057C483" w14:textId="77777777" w:rsidR="00D064A0" w:rsidRPr="00D064A0" w:rsidRDefault="00D064A0" w:rsidP="00D064A0">
      <w:pPr>
        <w:spacing w:line="360" w:lineRule="auto"/>
        <w:ind w:firstLine="708"/>
        <w:rPr>
          <w:rFonts w:cs="Times New Roman"/>
        </w:rPr>
      </w:pPr>
      <w:r w:rsidRPr="00D064A0">
        <w:rPr>
          <w:rFonts w:cs="Times New Roman"/>
        </w:rPr>
        <w:t>Como efeito positivo da Lei do Piso na Rede Pública Estadual, pode-se destacar a existência de uma data base para os reajustes (em janeiro) e o fato de até agora o Governo ter repassado o reajuste integral como estabelece a Lei, embora conseguido através de muita mobilização sindical, pois o Governo todo ano apresenta a proposta de dividir o reajuste em 6 (seis) parcelas, tendo como resultado greves todo início de ano.</w:t>
      </w:r>
    </w:p>
    <w:p w14:paraId="421A7F2D" w14:textId="77777777" w:rsidR="00D064A0" w:rsidRPr="00D064A0" w:rsidRDefault="00D064A0" w:rsidP="00D064A0">
      <w:pPr>
        <w:spacing w:line="360" w:lineRule="auto"/>
        <w:ind w:firstLine="708"/>
        <w:rPr>
          <w:rFonts w:eastAsia="Times New Roman" w:cs="Times New Roman"/>
          <w:color w:val="000000" w:themeColor="text1"/>
          <w:szCs w:val="24"/>
        </w:rPr>
      </w:pPr>
      <w:r w:rsidRPr="00D064A0">
        <w:rPr>
          <w:rFonts w:cs="Times New Roman"/>
          <w:color w:val="FF0000"/>
        </w:rPr>
        <w:t xml:space="preserve"> </w:t>
      </w:r>
      <w:r w:rsidRPr="00D064A0">
        <w:rPr>
          <w:rFonts w:cs="Times New Roman"/>
        </w:rPr>
        <w:t xml:space="preserve">  </w:t>
      </w:r>
    </w:p>
    <w:p w14:paraId="0D8DB3EC" w14:textId="77777777" w:rsidR="00D064A0" w:rsidRPr="00D064A0" w:rsidRDefault="00D064A0" w:rsidP="00D064A0">
      <w:pPr>
        <w:jc w:val="left"/>
        <w:rPr>
          <w:rFonts w:eastAsia="Times New Roman" w:cs="Times New Roman"/>
          <w:b/>
          <w:szCs w:val="24"/>
        </w:rPr>
      </w:pPr>
      <w:r w:rsidRPr="00D064A0">
        <w:rPr>
          <w:rFonts w:eastAsia="Times New Roman" w:cs="Times New Roman"/>
          <w:b/>
          <w:szCs w:val="24"/>
        </w:rPr>
        <w:t>REFERÊNCIAS:</w:t>
      </w:r>
    </w:p>
    <w:p w14:paraId="103C2D0B" w14:textId="77777777" w:rsidR="00D064A0" w:rsidRPr="00D064A0" w:rsidRDefault="00D064A0" w:rsidP="00D064A0">
      <w:pPr>
        <w:jc w:val="left"/>
        <w:rPr>
          <w:rFonts w:eastAsia="Times New Roman" w:cs="Times New Roman"/>
          <w:b/>
          <w:szCs w:val="24"/>
        </w:rPr>
      </w:pPr>
    </w:p>
    <w:p w14:paraId="6F98BD55" w14:textId="77777777" w:rsidR="00D064A0" w:rsidRPr="00D064A0" w:rsidRDefault="00D064A0" w:rsidP="00D064A0">
      <w:pPr>
        <w:spacing w:after="160" w:line="259" w:lineRule="auto"/>
        <w:jc w:val="left"/>
        <w:rPr>
          <w:rFonts w:cs="Times New Roman"/>
          <w:b/>
          <w:szCs w:val="24"/>
        </w:rPr>
      </w:pPr>
      <w:r w:rsidRPr="00D064A0">
        <w:rPr>
          <w:rFonts w:cs="Times New Roman"/>
          <w:szCs w:val="24"/>
        </w:rPr>
        <w:t>SALES</w:t>
      </w:r>
      <w:r w:rsidRPr="00D064A0">
        <w:rPr>
          <w:rFonts w:cs="Times New Roman"/>
          <w:bCs/>
          <w:szCs w:val="24"/>
        </w:rPr>
        <w:t xml:space="preserve">, </w:t>
      </w:r>
      <w:r w:rsidRPr="00D064A0">
        <w:rPr>
          <w:rFonts w:cs="Times New Roman"/>
          <w:szCs w:val="24"/>
        </w:rPr>
        <w:t>Carlos Sales; CRUZ</w:t>
      </w:r>
      <w:r w:rsidRPr="00D064A0">
        <w:rPr>
          <w:rFonts w:cs="Times New Roman"/>
          <w:bCs/>
          <w:szCs w:val="24"/>
        </w:rPr>
        <w:t xml:space="preserve">, </w:t>
      </w:r>
      <w:r w:rsidRPr="00D064A0">
        <w:rPr>
          <w:rFonts w:cs="Times New Roman"/>
          <w:szCs w:val="24"/>
        </w:rPr>
        <w:t xml:space="preserve">Rosana Evangelista da; SILVA Magna Jovita. </w:t>
      </w:r>
      <w:r w:rsidRPr="00D064A0">
        <w:rPr>
          <w:rFonts w:cs="Times New Roman"/>
          <w:bCs/>
          <w:szCs w:val="24"/>
        </w:rPr>
        <w:t xml:space="preserve">Remuneração dos docentes da rede estadual de educação do Piauí. </w:t>
      </w:r>
      <w:proofErr w:type="spellStart"/>
      <w:r w:rsidRPr="00D064A0">
        <w:rPr>
          <w:rFonts w:cs="Times New Roman"/>
          <w:b/>
          <w:bCs/>
          <w:szCs w:val="24"/>
        </w:rPr>
        <w:t>Fineduca</w:t>
      </w:r>
      <w:proofErr w:type="spellEnd"/>
      <w:r w:rsidRPr="00D064A0">
        <w:rPr>
          <w:rFonts w:cs="Times New Roman"/>
          <w:bCs/>
          <w:szCs w:val="24"/>
        </w:rPr>
        <w:t xml:space="preserve">. </w:t>
      </w:r>
      <w:r w:rsidRPr="00D064A0">
        <w:rPr>
          <w:rFonts w:cs="Times New Roman"/>
          <w:szCs w:val="24"/>
        </w:rPr>
        <w:t>Porto Alegre, v.4, n.4, 2014. Disponível em: &lt;http://seer.ufrgs.br/fineduca&gt;. Acesso em 24 out. 2016.</w:t>
      </w:r>
    </w:p>
    <w:p w14:paraId="51A46AE0" w14:textId="77777777" w:rsidR="00D064A0" w:rsidRPr="00D064A0" w:rsidRDefault="00D064A0" w:rsidP="00D064A0">
      <w:pPr>
        <w:widowControl w:val="0"/>
        <w:autoSpaceDE w:val="0"/>
        <w:autoSpaceDN w:val="0"/>
        <w:adjustRightInd w:val="0"/>
        <w:ind w:right="53"/>
        <w:jc w:val="left"/>
        <w:rPr>
          <w:rFonts w:eastAsia="Times New Roman" w:cs="Times New Roman"/>
          <w:szCs w:val="24"/>
          <w:lang w:eastAsia="pt-BR"/>
        </w:rPr>
      </w:pPr>
      <w:r w:rsidRPr="00D064A0">
        <w:rPr>
          <w:rFonts w:eastAsia="Times New Roman" w:cs="Times New Roman"/>
          <w:szCs w:val="24"/>
          <w:lang w:eastAsia="pt-BR"/>
        </w:rPr>
        <w:t xml:space="preserve">SOARES, Marina </w:t>
      </w:r>
      <w:proofErr w:type="spellStart"/>
      <w:r w:rsidRPr="00D064A0">
        <w:rPr>
          <w:rFonts w:eastAsia="Times New Roman" w:cs="Times New Roman"/>
          <w:szCs w:val="24"/>
          <w:lang w:eastAsia="pt-BR"/>
        </w:rPr>
        <w:t>Gleika</w:t>
      </w:r>
      <w:proofErr w:type="spellEnd"/>
      <w:r w:rsidRPr="00D064A0">
        <w:rPr>
          <w:rFonts w:eastAsia="Times New Roman" w:cs="Times New Roman"/>
          <w:szCs w:val="24"/>
          <w:lang w:eastAsia="pt-BR"/>
        </w:rPr>
        <w:t xml:space="preserve"> Felipe. </w:t>
      </w:r>
      <w:r w:rsidRPr="00D064A0">
        <w:rPr>
          <w:rFonts w:eastAsia="Times New Roman" w:cs="Times New Roman"/>
          <w:b/>
          <w:szCs w:val="24"/>
          <w:lang w:eastAsia="pt-BR"/>
        </w:rPr>
        <w:t>Remuneração e Carreira dos Profissionais da Educação Básica</w:t>
      </w:r>
      <w:r w:rsidRPr="00D064A0">
        <w:rPr>
          <w:rFonts w:eastAsia="Times New Roman" w:cs="Times New Roman"/>
          <w:szCs w:val="24"/>
          <w:lang w:eastAsia="pt-BR"/>
        </w:rPr>
        <w:t>: o impacto da Lei do Piso na Rede Estadual do Piauí no período de 2008 a 2014. 85f. Dissertação (Mestrado em Educação) – Programa de Pós-Graduação em Educação da Universidade Federal do Piauí. Teresina, 2016.</w:t>
      </w:r>
    </w:p>
    <w:p w14:paraId="2BA4FD1A" w14:textId="77777777" w:rsidR="00D064A0" w:rsidRPr="00D064A0" w:rsidRDefault="00D064A0" w:rsidP="00D064A0">
      <w:pPr>
        <w:widowControl w:val="0"/>
        <w:autoSpaceDE w:val="0"/>
        <w:autoSpaceDN w:val="0"/>
        <w:adjustRightInd w:val="0"/>
        <w:ind w:right="53"/>
        <w:jc w:val="left"/>
        <w:rPr>
          <w:rFonts w:eastAsia="Times New Roman" w:cs="Times New Roman"/>
          <w:szCs w:val="24"/>
          <w:lang w:eastAsia="pt-BR"/>
        </w:rPr>
      </w:pPr>
    </w:p>
    <w:p w14:paraId="02BD50F9" w14:textId="77777777" w:rsidR="00F256D9" w:rsidRDefault="00D064A0" w:rsidP="00D064A0">
      <w:pPr>
        <w:snapToGrid w:val="0"/>
        <w:jc w:val="left"/>
        <w:rPr>
          <w:rFonts w:eastAsia="Times New Roman" w:cs="Times New Roman"/>
          <w:szCs w:val="24"/>
        </w:rPr>
      </w:pPr>
      <w:r w:rsidRPr="00D064A0">
        <w:rPr>
          <w:rFonts w:eastAsia="Times New Roman" w:cs="Times New Roman"/>
          <w:szCs w:val="24"/>
        </w:rPr>
        <w:t xml:space="preserve">PIAUÍ. </w:t>
      </w:r>
      <w:r w:rsidRPr="00D064A0">
        <w:rPr>
          <w:rFonts w:eastAsia="Times New Roman" w:cs="Times New Roman"/>
          <w:szCs w:val="24"/>
          <w:lang w:eastAsia="pt-BR"/>
        </w:rPr>
        <w:t> </w:t>
      </w:r>
      <w:r w:rsidRPr="00D064A0">
        <w:rPr>
          <w:rFonts w:eastAsia="Times New Roman" w:cs="Times New Roman"/>
          <w:b/>
          <w:szCs w:val="24"/>
        </w:rPr>
        <w:t xml:space="preserve">Lei nº 4.212, de 5 de julho de 1988. </w:t>
      </w:r>
      <w:r w:rsidRPr="00D064A0">
        <w:rPr>
          <w:rFonts w:eastAsia="Times New Roman" w:cs="Times New Roman"/>
          <w:szCs w:val="24"/>
        </w:rPr>
        <w:t>Dispõe sobre o estatuto do magistério público de 1º e 2º graus do Estado do Piauí e dá outras providências. Teresina, 1988. Disponível em: &lt;http://legislacao.pi.gov.br/legislacao/default/ato/12635 &gt;. Acesso em</w:t>
      </w:r>
      <w:r w:rsidRPr="00D064A0">
        <w:rPr>
          <w:rFonts w:eastAsia="Times New Roman" w:cs="Times New Roman"/>
          <w:b/>
          <w:szCs w:val="24"/>
        </w:rPr>
        <w:t>:</w:t>
      </w:r>
      <w:r w:rsidRPr="00D064A0">
        <w:rPr>
          <w:rFonts w:eastAsia="Times New Roman" w:cs="Times New Roman"/>
          <w:szCs w:val="24"/>
        </w:rPr>
        <w:t xml:space="preserve"> 20 nov. 2015.  </w:t>
      </w:r>
    </w:p>
    <w:p w14:paraId="738E8D3B" w14:textId="33D8185B" w:rsidR="00D064A0" w:rsidRPr="00D064A0" w:rsidRDefault="00D064A0" w:rsidP="00D064A0">
      <w:pPr>
        <w:snapToGrid w:val="0"/>
        <w:jc w:val="left"/>
        <w:rPr>
          <w:rFonts w:eastAsia="Times New Roman" w:cs="Times New Roman"/>
          <w:szCs w:val="24"/>
        </w:rPr>
      </w:pPr>
      <w:r w:rsidRPr="00D064A0">
        <w:rPr>
          <w:rFonts w:eastAsia="Times New Roman" w:cs="Times New Roman"/>
          <w:szCs w:val="24"/>
        </w:rPr>
        <w:t xml:space="preserve"> </w:t>
      </w:r>
    </w:p>
    <w:p w14:paraId="3ECD18E1" w14:textId="77777777" w:rsidR="00D064A0" w:rsidRPr="00D064A0" w:rsidRDefault="00D064A0" w:rsidP="00D064A0">
      <w:pPr>
        <w:snapToGrid w:val="0"/>
        <w:spacing w:afterLines="100" w:after="240"/>
        <w:jc w:val="left"/>
        <w:rPr>
          <w:rFonts w:eastAsia="Times New Roman" w:cs="Times New Roman"/>
          <w:szCs w:val="24"/>
        </w:rPr>
      </w:pPr>
      <w:r w:rsidRPr="00D064A0">
        <w:rPr>
          <w:rFonts w:eastAsia="Times New Roman" w:cs="Times New Roman"/>
          <w:szCs w:val="24"/>
        </w:rPr>
        <w:lastRenderedPageBreak/>
        <w:t xml:space="preserve">______. </w:t>
      </w:r>
      <w:r w:rsidRPr="00D064A0">
        <w:rPr>
          <w:rFonts w:eastAsia="Times New Roman" w:cs="Times New Roman"/>
          <w:b/>
          <w:szCs w:val="24"/>
        </w:rPr>
        <w:t>Lei Complementar n° 71, de 26 de julho de 2006.</w:t>
      </w:r>
      <w:r w:rsidRPr="00D064A0">
        <w:rPr>
          <w:rFonts w:eastAsia="Times New Roman" w:cs="Times New Roman"/>
          <w:szCs w:val="24"/>
        </w:rPr>
        <w:t xml:space="preserve"> Dispõe sobre o estatuto e o plano de cargos carreira e vencimento dos trabalhadores em educação básica do Estado do Piauí e dá outras providências. Teresina, 2006. Disponível em: &lt;http://legislacao.pi.gov.br/scan/pages/jsp/scan/consultaDeAtoNormativo.jsp?idAtoNormativo=1294&gt;. Acesso em: 20 nov. 2015.</w:t>
      </w:r>
    </w:p>
    <w:p w14:paraId="5D4040BC" w14:textId="77777777" w:rsidR="00D064A0" w:rsidRPr="00D064A0" w:rsidRDefault="00D064A0" w:rsidP="00D064A0">
      <w:pPr>
        <w:snapToGrid w:val="0"/>
        <w:jc w:val="left"/>
        <w:rPr>
          <w:rFonts w:eastAsia="Times New Roman" w:cs="Times New Roman"/>
          <w:szCs w:val="24"/>
        </w:rPr>
      </w:pPr>
      <w:r w:rsidRPr="00D064A0">
        <w:rPr>
          <w:rFonts w:eastAsia="Times New Roman" w:cs="Times New Roman"/>
          <w:szCs w:val="24"/>
        </w:rPr>
        <w:t xml:space="preserve">______. </w:t>
      </w:r>
      <w:r w:rsidRPr="00D064A0">
        <w:rPr>
          <w:rFonts w:eastAsia="Times New Roman" w:cs="Times New Roman"/>
          <w:b/>
          <w:szCs w:val="24"/>
        </w:rPr>
        <w:t>Lei Complementar n° 152, de 23 de março de 2010</w:t>
      </w:r>
      <w:r w:rsidRPr="00D064A0">
        <w:rPr>
          <w:rFonts w:eastAsia="Times New Roman" w:cs="Times New Roman"/>
          <w:szCs w:val="24"/>
        </w:rPr>
        <w:t>. Dispõe sobre o piso salarial profissional estadual para o os profissionais do magistério público da educação básica. Teresina, 2010. Disponível em: &lt;http://legislacao.pi.gov.br/scan/pages/jsp/scan/consultaDeAtoNormativo.jsp?idAtoNormativo=11429&gt;. Acesso em: 20 nov. 2015.</w:t>
      </w:r>
    </w:p>
    <w:p w14:paraId="050053B4" w14:textId="77777777" w:rsidR="00D064A0" w:rsidRPr="00D064A0" w:rsidRDefault="00D064A0" w:rsidP="00D064A0">
      <w:pPr>
        <w:snapToGrid w:val="0"/>
        <w:jc w:val="left"/>
        <w:rPr>
          <w:rFonts w:eastAsia="Times New Roman" w:cs="Times New Roman"/>
          <w:szCs w:val="24"/>
        </w:rPr>
      </w:pPr>
      <w:r w:rsidRPr="00D064A0">
        <w:rPr>
          <w:rFonts w:eastAsia="Times New Roman" w:cs="Times New Roman"/>
          <w:szCs w:val="24"/>
        </w:rPr>
        <w:t xml:space="preserve">  </w:t>
      </w:r>
    </w:p>
    <w:p w14:paraId="7897C6FA" w14:textId="77777777" w:rsidR="00D064A0" w:rsidRPr="00D064A0" w:rsidRDefault="00D064A0" w:rsidP="00D064A0">
      <w:pPr>
        <w:jc w:val="left"/>
        <w:rPr>
          <w:rFonts w:eastAsia="Calibri" w:cs="Times New Roman"/>
          <w:szCs w:val="24"/>
        </w:rPr>
      </w:pPr>
      <w:r w:rsidRPr="00D064A0">
        <w:rPr>
          <w:rFonts w:eastAsia="Times New Roman" w:cs="Times New Roman"/>
          <w:szCs w:val="24"/>
        </w:rPr>
        <w:t xml:space="preserve">______. </w:t>
      </w:r>
      <w:r w:rsidRPr="00D064A0">
        <w:rPr>
          <w:rFonts w:eastAsia="Calibri" w:cs="Times New Roman"/>
          <w:b/>
          <w:szCs w:val="24"/>
        </w:rPr>
        <w:t>Lei n° 6.215, de 01 de junho de 2012.</w:t>
      </w:r>
      <w:r w:rsidRPr="00D064A0">
        <w:rPr>
          <w:rFonts w:eastAsia="Calibri" w:cs="Times New Roman"/>
          <w:szCs w:val="24"/>
        </w:rPr>
        <w:t xml:space="preserve"> Dispõe sobre o reajuste do vencimento dos profissionais do magistério público da educação básica, para atender ao piso nacional. </w:t>
      </w:r>
      <w:r w:rsidRPr="00D064A0">
        <w:rPr>
          <w:rFonts w:eastAsia="Times New Roman" w:cs="Times New Roman"/>
          <w:szCs w:val="24"/>
        </w:rPr>
        <w:t xml:space="preserve">Disponível em: </w:t>
      </w:r>
      <w:r w:rsidRPr="00D064A0">
        <w:rPr>
          <w:rFonts w:eastAsia="Calibri" w:cs="Times New Roman"/>
          <w:szCs w:val="24"/>
        </w:rPr>
        <w:t>http://www.seadprev.pi.gov.br/download/201312/SEAD30_7061e8719f.pdf, Acesso em: 28 fev. 2016.</w:t>
      </w:r>
    </w:p>
    <w:p w14:paraId="71B95390" w14:textId="77777777" w:rsidR="00D064A0" w:rsidRPr="00D064A0" w:rsidRDefault="00D064A0" w:rsidP="00D064A0">
      <w:pPr>
        <w:jc w:val="left"/>
        <w:rPr>
          <w:rFonts w:eastAsia="Calibri" w:cs="Times New Roman"/>
          <w:szCs w:val="24"/>
        </w:rPr>
      </w:pPr>
    </w:p>
    <w:p w14:paraId="6DC7A722" w14:textId="77777777" w:rsidR="00D064A0" w:rsidRPr="00D064A0" w:rsidRDefault="00D064A0" w:rsidP="00D064A0">
      <w:pPr>
        <w:widowControl w:val="0"/>
        <w:autoSpaceDE w:val="0"/>
        <w:autoSpaceDN w:val="0"/>
        <w:adjustRightInd w:val="0"/>
        <w:ind w:right="53"/>
        <w:jc w:val="left"/>
        <w:rPr>
          <w:rFonts w:eastAsia="Times New Roman" w:cs="Times New Roman"/>
          <w:szCs w:val="24"/>
          <w:lang w:eastAsia="pt-BR"/>
        </w:rPr>
      </w:pPr>
    </w:p>
    <w:p w14:paraId="1F63ABE1" w14:textId="77777777" w:rsidR="00D064A0" w:rsidRPr="00D064A0" w:rsidRDefault="00D064A0" w:rsidP="00D064A0">
      <w:pPr>
        <w:spacing w:after="160" w:line="259" w:lineRule="auto"/>
        <w:jc w:val="left"/>
        <w:rPr>
          <w:rFonts w:asciiTheme="minorHAnsi" w:hAnsiTheme="minorHAnsi"/>
          <w:sz w:val="22"/>
        </w:rPr>
      </w:pPr>
    </w:p>
    <w:p w14:paraId="4DC59933" w14:textId="77777777" w:rsidR="00CE71C7" w:rsidRDefault="00CE71C7" w:rsidP="00D064A0">
      <w:pPr>
        <w:jc w:val="left"/>
      </w:pPr>
    </w:p>
    <w:sectPr w:rsidR="00CE71C7" w:rsidSect="00BE0D8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0E91" w14:textId="77777777" w:rsidR="009B6806" w:rsidRDefault="009B6806" w:rsidP="00CE71C7">
      <w:r>
        <w:separator/>
      </w:r>
    </w:p>
  </w:endnote>
  <w:endnote w:type="continuationSeparator" w:id="0">
    <w:p w14:paraId="1AD41309" w14:textId="77777777" w:rsidR="009B6806" w:rsidRDefault="009B6806" w:rsidP="00CE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4FC9" w14:textId="77777777" w:rsidR="009B6806" w:rsidRDefault="009B6806" w:rsidP="00CE71C7">
      <w:r>
        <w:separator/>
      </w:r>
    </w:p>
  </w:footnote>
  <w:footnote w:type="continuationSeparator" w:id="0">
    <w:p w14:paraId="723629B7" w14:textId="77777777" w:rsidR="009B6806" w:rsidRDefault="009B6806" w:rsidP="00CE71C7">
      <w:r>
        <w:continuationSeparator/>
      </w:r>
    </w:p>
  </w:footnote>
  <w:footnote w:id="1">
    <w:p w14:paraId="44F48921" w14:textId="17DC3556" w:rsidR="006F6877" w:rsidRDefault="006F6877">
      <w:pPr>
        <w:pStyle w:val="Textodenotaderodap"/>
      </w:pPr>
      <w:r>
        <w:rPr>
          <w:rStyle w:val="Refdenotaderodap"/>
        </w:rPr>
        <w:footnoteRef/>
      </w:r>
      <w:r>
        <w:t xml:space="preserve">  Doutora em Educação-Programa de Pós-Graduação em Educação da Universidade Federal do Piauí-UFPI e Professora Assistente da UESPI.</w:t>
      </w:r>
    </w:p>
  </w:footnote>
  <w:footnote w:id="2">
    <w:p w14:paraId="743D8E6D" w14:textId="77777777" w:rsidR="006F6877" w:rsidRDefault="006F6877">
      <w:pPr>
        <w:pStyle w:val="Textodenotaderodap"/>
      </w:pPr>
      <w:r>
        <w:rPr>
          <w:rStyle w:val="Refdenotaderodap"/>
        </w:rPr>
        <w:footnoteRef/>
      </w:r>
      <w:r>
        <w:t xml:space="preserve"> </w:t>
      </w:r>
      <w:proofErr w:type="spellStart"/>
      <w:r>
        <w:t>Profº</w:t>
      </w:r>
      <w:proofErr w:type="spellEnd"/>
      <w:r>
        <w:t xml:space="preserve"> Dr. </w:t>
      </w:r>
      <w:proofErr w:type="spellStart"/>
      <w:r>
        <w:t>Luis</w:t>
      </w:r>
      <w:proofErr w:type="spellEnd"/>
      <w:r>
        <w:t xml:space="preserve"> Carlos Sales do Programa de Pós-Graduação em Educação da Universidade Federal do Piauí-UFPI.</w:t>
      </w:r>
    </w:p>
  </w:footnote>
  <w:footnote w:id="3">
    <w:p w14:paraId="788DEAD3" w14:textId="77777777" w:rsidR="006F6877" w:rsidRPr="00005EE0" w:rsidRDefault="006F6877" w:rsidP="003463C5">
      <w:pPr>
        <w:autoSpaceDE w:val="0"/>
        <w:autoSpaceDN w:val="0"/>
        <w:adjustRightInd w:val="0"/>
        <w:rPr>
          <w:rFonts w:cs="Times New Roman"/>
          <w:color w:val="231F20"/>
          <w:sz w:val="20"/>
          <w:szCs w:val="20"/>
        </w:rPr>
      </w:pPr>
      <w:r w:rsidRPr="00005EE0">
        <w:rPr>
          <w:rStyle w:val="Refdenotaderodap"/>
          <w:sz w:val="20"/>
          <w:szCs w:val="20"/>
        </w:rPr>
        <w:footnoteRef/>
      </w:r>
      <w:r w:rsidRPr="00005EE0">
        <w:rPr>
          <w:rFonts w:cs="Times New Roman"/>
          <w:sz w:val="20"/>
          <w:szCs w:val="20"/>
        </w:rPr>
        <w:t xml:space="preserve"> </w:t>
      </w:r>
      <w:r>
        <w:rPr>
          <w:rFonts w:cs="Times New Roman"/>
          <w:color w:val="231F20"/>
          <w:sz w:val="20"/>
          <w:szCs w:val="20"/>
        </w:rPr>
        <w:t>Filósofo francês (1938-1983), cuja carreira intelectual foi marcada pelas proposições acerca da teoria da Análise do Discurso. Sua concepção materialista busca compreender as tensões entre interpretação e descrição da análise do discurso. Publicou, como principais livros, “Análise automática do Discurso” (1969), “Semântica e discurso: uma crítica da afirmação do óbvio” (1981) e “O discurso: estrutura e acontecimento” (1983).</w:t>
      </w:r>
    </w:p>
    <w:p w14:paraId="77768AF9" w14:textId="77777777" w:rsidR="006F6877" w:rsidRPr="00005EE0" w:rsidRDefault="006F6877" w:rsidP="00CE71C7">
      <w:pPr>
        <w:autoSpaceDE w:val="0"/>
        <w:autoSpaceDN w:val="0"/>
        <w:adjustRightInd w:val="0"/>
        <w:rPr>
          <w:rFonts w:cs="Times New Roman"/>
          <w:color w:val="231F20"/>
          <w:sz w:val="20"/>
          <w:szCs w:val="20"/>
        </w:rPr>
      </w:pPr>
    </w:p>
  </w:footnote>
  <w:footnote w:id="4">
    <w:p w14:paraId="19BE6912" w14:textId="77777777" w:rsidR="006F6877" w:rsidRPr="00FD3CA1" w:rsidRDefault="006F6877" w:rsidP="00CE71C7">
      <w:pPr>
        <w:pStyle w:val="Textodenotaderodap"/>
        <w:rPr>
          <w:color w:val="000000" w:themeColor="text1"/>
          <w:sz w:val="18"/>
          <w:szCs w:val="18"/>
        </w:rPr>
      </w:pPr>
      <w:r>
        <w:rPr>
          <w:rStyle w:val="Refdenotaderodap"/>
        </w:rPr>
        <w:footnoteRef/>
      </w:r>
      <w:r>
        <w:t xml:space="preserve"> </w:t>
      </w:r>
      <w:r w:rsidRPr="00C30CEA">
        <w:rPr>
          <w:rFonts w:ascii="Arial" w:eastAsiaTheme="minorHAnsi" w:hAnsi="Arial" w:cs="Arial"/>
          <w:color w:val="252525"/>
          <w:sz w:val="21"/>
          <w:szCs w:val="21"/>
          <w:shd w:val="clear" w:color="auto" w:fill="FFFFFF"/>
          <w:lang w:eastAsia="en-US"/>
        </w:rPr>
        <w:t> </w:t>
      </w:r>
      <w:r w:rsidRPr="00FD3CA1">
        <w:rPr>
          <w:rFonts w:eastAsiaTheme="minorHAnsi"/>
          <w:b/>
          <w:bCs/>
          <w:color w:val="000000" w:themeColor="text1"/>
          <w:sz w:val="18"/>
          <w:szCs w:val="18"/>
          <w:shd w:val="clear" w:color="auto" w:fill="FFFFFF"/>
          <w:lang w:eastAsia="en-US"/>
        </w:rPr>
        <w:t>Lei de Responsabilidade Fiscal</w:t>
      </w:r>
      <w:r w:rsidRPr="00FD3CA1">
        <w:rPr>
          <w:rFonts w:eastAsiaTheme="minorHAnsi"/>
          <w:color w:val="000000" w:themeColor="text1"/>
          <w:sz w:val="18"/>
          <w:szCs w:val="18"/>
          <w:shd w:val="clear" w:color="auto" w:fill="FFFFFF"/>
          <w:lang w:eastAsia="en-US"/>
        </w:rPr>
        <w:t> (</w:t>
      </w:r>
      <w:r w:rsidRPr="00FD3CA1">
        <w:rPr>
          <w:rFonts w:eastAsiaTheme="minorHAnsi"/>
          <w:b/>
          <w:bCs/>
          <w:color w:val="000000" w:themeColor="text1"/>
          <w:sz w:val="18"/>
          <w:szCs w:val="18"/>
          <w:shd w:val="clear" w:color="auto" w:fill="FFFFFF"/>
          <w:lang w:eastAsia="en-US"/>
        </w:rPr>
        <w:t>LRF</w:t>
      </w:r>
      <w:r w:rsidRPr="00FD3CA1">
        <w:rPr>
          <w:rFonts w:eastAsiaTheme="minorHAnsi"/>
          <w:color w:val="000000" w:themeColor="text1"/>
          <w:sz w:val="18"/>
          <w:szCs w:val="18"/>
          <w:shd w:val="clear" w:color="auto" w:fill="FFFFFF"/>
          <w:lang w:eastAsia="en-US"/>
        </w:rPr>
        <w:t>), oficialmente </w:t>
      </w:r>
      <w:r>
        <w:rPr>
          <w:rFonts w:eastAsiaTheme="minorHAnsi"/>
          <w:b/>
          <w:bCs/>
          <w:color w:val="000000" w:themeColor="text1"/>
          <w:sz w:val="18"/>
          <w:szCs w:val="18"/>
          <w:shd w:val="clear" w:color="auto" w:fill="FFFFFF"/>
          <w:lang w:eastAsia="en-US"/>
        </w:rPr>
        <w:t>Lei Compleme</w:t>
      </w:r>
      <w:r w:rsidRPr="00FD3CA1">
        <w:rPr>
          <w:rFonts w:eastAsiaTheme="minorHAnsi"/>
          <w:b/>
          <w:bCs/>
          <w:color w:val="000000" w:themeColor="text1"/>
          <w:sz w:val="18"/>
          <w:szCs w:val="18"/>
          <w:shd w:val="clear" w:color="auto" w:fill="FFFFFF"/>
          <w:lang w:eastAsia="en-US"/>
        </w:rPr>
        <w:t>ntar nº 101</w:t>
      </w:r>
      <w:r w:rsidRPr="00FD3CA1">
        <w:rPr>
          <w:rFonts w:eastAsiaTheme="minorHAnsi"/>
          <w:color w:val="000000" w:themeColor="text1"/>
          <w:sz w:val="18"/>
          <w:szCs w:val="18"/>
          <w:shd w:val="clear" w:color="auto" w:fill="FFFFFF"/>
          <w:lang w:eastAsia="en-US"/>
        </w:rPr>
        <w:t>, é uma </w:t>
      </w:r>
      <w:hyperlink r:id="rId1" w:tooltip="Lei Complementar" w:history="1">
        <w:r w:rsidRPr="00FD3CA1">
          <w:rPr>
            <w:rFonts w:eastAsiaTheme="minorHAnsi"/>
            <w:color w:val="000000" w:themeColor="text1"/>
            <w:sz w:val="18"/>
            <w:szCs w:val="18"/>
            <w:shd w:val="clear" w:color="auto" w:fill="FFFFFF"/>
            <w:lang w:eastAsia="en-US"/>
          </w:rPr>
          <w:t>Lei Complementar</w:t>
        </w:r>
      </w:hyperlink>
      <w:r w:rsidRPr="00FD3CA1">
        <w:rPr>
          <w:rFonts w:eastAsiaTheme="minorHAnsi"/>
          <w:color w:val="000000" w:themeColor="text1"/>
          <w:sz w:val="18"/>
          <w:szCs w:val="18"/>
          <w:shd w:val="clear" w:color="auto" w:fill="FFFFFF"/>
          <w:lang w:eastAsia="en-US"/>
        </w:rPr>
        <w:t> </w:t>
      </w:r>
      <w:hyperlink r:id="rId2" w:tooltip="Lei brasileira" w:history="1">
        <w:r w:rsidRPr="00FD3CA1">
          <w:rPr>
            <w:rFonts w:eastAsiaTheme="minorHAnsi"/>
            <w:color w:val="000000" w:themeColor="text1"/>
            <w:sz w:val="18"/>
            <w:szCs w:val="18"/>
            <w:shd w:val="clear" w:color="auto" w:fill="FFFFFF"/>
            <w:lang w:eastAsia="en-US"/>
          </w:rPr>
          <w:t>brasileira</w:t>
        </w:r>
      </w:hyperlink>
      <w:r w:rsidRPr="00FD3CA1">
        <w:rPr>
          <w:rFonts w:eastAsiaTheme="minorHAnsi"/>
          <w:color w:val="000000" w:themeColor="text1"/>
          <w:sz w:val="18"/>
          <w:szCs w:val="18"/>
          <w:shd w:val="clear" w:color="auto" w:fill="FFFFFF"/>
          <w:lang w:eastAsia="en-US"/>
        </w:rPr>
        <w:t> que tenta impor o </w:t>
      </w:r>
      <w:hyperlink r:id="rId3" w:tooltip="Controle (administração)" w:history="1">
        <w:r w:rsidRPr="00FD3CA1">
          <w:rPr>
            <w:rFonts w:eastAsiaTheme="minorHAnsi"/>
            <w:color w:val="000000" w:themeColor="text1"/>
            <w:sz w:val="18"/>
            <w:szCs w:val="18"/>
            <w:shd w:val="clear" w:color="auto" w:fill="FFFFFF"/>
            <w:lang w:eastAsia="en-US"/>
          </w:rPr>
          <w:t>controle</w:t>
        </w:r>
      </w:hyperlink>
      <w:r w:rsidRPr="00FD3CA1">
        <w:rPr>
          <w:rFonts w:eastAsiaTheme="minorHAnsi"/>
          <w:color w:val="000000" w:themeColor="text1"/>
          <w:sz w:val="18"/>
          <w:szCs w:val="18"/>
          <w:shd w:val="clear" w:color="auto" w:fill="FFFFFF"/>
          <w:lang w:eastAsia="en-US"/>
        </w:rPr>
        <w:t> dos gastos da União, </w:t>
      </w:r>
      <w:hyperlink r:id="rId4" w:tooltip="Estado" w:history="1">
        <w:r w:rsidRPr="00FD3CA1">
          <w:rPr>
            <w:rFonts w:eastAsiaTheme="minorHAnsi"/>
            <w:color w:val="000000" w:themeColor="text1"/>
            <w:sz w:val="18"/>
            <w:szCs w:val="18"/>
            <w:shd w:val="clear" w:color="auto" w:fill="FFFFFF"/>
            <w:lang w:eastAsia="en-US"/>
          </w:rPr>
          <w:t>estados</w:t>
        </w:r>
      </w:hyperlink>
      <w:r w:rsidRPr="00FD3CA1">
        <w:rPr>
          <w:rFonts w:eastAsiaTheme="minorHAnsi"/>
          <w:color w:val="000000" w:themeColor="text1"/>
          <w:sz w:val="18"/>
          <w:szCs w:val="18"/>
          <w:shd w:val="clear" w:color="auto" w:fill="FFFFFF"/>
          <w:lang w:eastAsia="en-US"/>
        </w:rPr>
        <w:t>, Distrito Federal e </w:t>
      </w:r>
      <w:hyperlink r:id="rId5" w:tooltip="Município" w:history="1">
        <w:r w:rsidRPr="00FD3CA1">
          <w:rPr>
            <w:rFonts w:eastAsiaTheme="minorHAnsi"/>
            <w:color w:val="000000" w:themeColor="text1"/>
            <w:sz w:val="18"/>
            <w:szCs w:val="18"/>
            <w:shd w:val="clear" w:color="auto" w:fill="FFFFFF"/>
            <w:lang w:eastAsia="en-US"/>
          </w:rPr>
          <w:t>municípios</w:t>
        </w:r>
      </w:hyperlink>
      <w:r w:rsidRPr="00FD3CA1">
        <w:rPr>
          <w:rFonts w:eastAsiaTheme="minorHAnsi"/>
          <w:color w:val="000000" w:themeColor="text1"/>
          <w:sz w:val="18"/>
          <w:szCs w:val="18"/>
          <w:shd w:val="clear" w:color="auto" w:fill="FFFFFF"/>
          <w:lang w:eastAsia="en-US"/>
        </w:rPr>
        <w:t>, condicionado à capacidade de arrecadação de </w:t>
      </w:r>
      <w:hyperlink r:id="rId6" w:tooltip="Tributos" w:history="1">
        <w:r w:rsidRPr="00FD3CA1">
          <w:rPr>
            <w:rFonts w:eastAsiaTheme="minorHAnsi"/>
            <w:color w:val="000000" w:themeColor="text1"/>
            <w:sz w:val="18"/>
            <w:szCs w:val="18"/>
            <w:shd w:val="clear" w:color="auto" w:fill="FFFFFF"/>
            <w:lang w:eastAsia="en-US"/>
          </w:rPr>
          <w:t>tributos</w:t>
        </w:r>
      </w:hyperlink>
      <w:r w:rsidRPr="00FD3CA1">
        <w:rPr>
          <w:rFonts w:eastAsiaTheme="minorHAnsi"/>
          <w:color w:val="000000" w:themeColor="text1"/>
          <w:sz w:val="18"/>
          <w:szCs w:val="18"/>
          <w:shd w:val="clear" w:color="auto" w:fill="FFFFFF"/>
          <w:lang w:eastAsia="en-US"/>
        </w:rPr>
        <w:t> desses entes políticos. Tal medida foi justificada pelo costume, na política brasileira, de gestores promoverem obras de grande porte no final de seus </w:t>
      </w:r>
      <w:hyperlink r:id="rId7" w:tooltip="Mandato" w:history="1">
        <w:r w:rsidRPr="00FD3CA1">
          <w:rPr>
            <w:rFonts w:eastAsiaTheme="minorHAnsi"/>
            <w:color w:val="000000" w:themeColor="text1"/>
            <w:sz w:val="18"/>
            <w:szCs w:val="18"/>
            <w:shd w:val="clear" w:color="auto" w:fill="FFFFFF"/>
            <w:lang w:eastAsia="en-US"/>
          </w:rPr>
          <w:t>mandatos</w:t>
        </w:r>
      </w:hyperlink>
      <w:r w:rsidRPr="00FD3CA1">
        <w:rPr>
          <w:rFonts w:eastAsiaTheme="minorHAnsi"/>
          <w:color w:val="000000" w:themeColor="text1"/>
          <w:sz w:val="18"/>
          <w:szCs w:val="18"/>
          <w:shd w:val="clear" w:color="auto" w:fill="FFFFFF"/>
          <w:lang w:eastAsia="en-US"/>
        </w:rPr>
        <w:t xml:space="preserve">, deixando a conta para seus sucessores. Também era comum a prática de tomada de empréstimos em instituição financeira estatal pelo seu ente controlador.  </w:t>
      </w:r>
    </w:p>
  </w:footnote>
  <w:footnote w:id="5">
    <w:p w14:paraId="38D19FB2" w14:textId="77777777" w:rsidR="006F6877" w:rsidRDefault="006F6877" w:rsidP="003C2EEA">
      <w:pPr>
        <w:pStyle w:val="Textodenotaderodap"/>
      </w:pPr>
      <w:r>
        <w:rPr>
          <w:rStyle w:val="Refdenotaderodap"/>
        </w:rPr>
        <w:footnoteRef/>
      </w:r>
      <w:r>
        <w:t xml:space="preserve"> </w:t>
      </w:r>
      <w:r w:rsidRPr="00C202A5">
        <w:t>Foi instituída através das disposições transitórias do art. 87 da LDB/96, a iniciar-se da publicação desta Lei, no prazo de um ano, determinando que a União encaminhasse</w:t>
      </w:r>
      <w:r>
        <w:t>,</w:t>
      </w:r>
      <w:r w:rsidRPr="00C202A5">
        <w:t xml:space="preserve"> ao Congresso Nacional, o Plano Nacional de Educação com diretrizes e metas para os dez anos seguintes</w:t>
      </w:r>
      <w:r>
        <w:t>.</w:t>
      </w:r>
    </w:p>
    <w:p w14:paraId="5CE8466E" w14:textId="77777777" w:rsidR="006F6877" w:rsidRDefault="006F6877" w:rsidP="003C2EEA">
      <w:pPr>
        <w:pStyle w:val="Textodenotaderodap"/>
      </w:pPr>
    </w:p>
  </w:footnote>
  <w:footnote w:id="6">
    <w:p w14:paraId="55E2D0D6" w14:textId="570F686C" w:rsidR="006F6877" w:rsidRPr="00AC2657" w:rsidRDefault="006F6877" w:rsidP="00D064A0">
      <w:pPr>
        <w:pStyle w:val="Textodenotaderodap"/>
      </w:pPr>
      <w:r>
        <w:rPr>
          <w:rStyle w:val="Refdenotaderodap"/>
        </w:rPr>
        <w:footnoteRef/>
      </w:r>
      <w:r>
        <w:t xml:space="preserve"> </w:t>
      </w:r>
      <w:r w:rsidRPr="00AC2657">
        <w:t>A Lei do Piso (n. 11.738) foi promulgada em 16 de junho de 2008, no entanto, em função de uma Ação Direta de Inconstitucionalidade, apresentada por quatro unidades da Federação (Rio Grande do Sul, Santa Catari</w:t>
      </w:r>
      <w:r w:rsidR="00636568">
        <w:t>n</w:t>
      </w:r>
      <w:r w:rsidRPr="00AC2657">
        <w:t>a, Mato Grosso do Sul e Ceará), os seus efeitos práticos só foram observados a partir de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E2908"/>
    <w:multiLevelType w:val="multilevel"/>
    <w:tmpl w:val="6B9CD530"/>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C7"/>
    <w:rsid w:val="00042654"/>
    <w:rsid w:val="000437C1"/>
    <w:rsid w:val="00057551"/>
    <w:rsid w:val="00073940"/>
    <w:rsid w:val="000B6201"/>
    <w:rsid w:val="000D1127"/>
    <w:rsid w:val="001137DA"/>
    <w:rsid w:val="001270EE"/>
    <w:rsid w:val="001551FA"/>
    <w:rsid w:val="001F236C"/>
    <w:rsid w:val="00247345"/>
    <w:rsid w:val="0025425C"/>
    <w:rsid w:val="002957EA"/>
    <w:rsid w:val="002A617A"/>
    <w:rsid w:val="002B0F61"/>
    <w:rsid w:val="00300B91"/>
    <w:rsid w:val="00304966"/>
    <w:rsid w:val="00314CE5"/>
    <w:rsid w:val="00320C30"/>
    <w:rsid w:val="003234FE"/>
    <w:rsid w:val="0032465C"/>
    <w:rsid w:val="003463C5"/>
    <w:rsid w:val="003471C7"/>
    <w:rsid w:val="0035157B"/>
    <w:rsid w:val="003A329D"/>
    <w:rsid w:val="003A35DE"/>
    <w:rsid w:val="003B34BF"/>
    <w:rsid w:val="003C2EEA"/>
    <w:rsid w:val="003C38B5"/>
    <w:rsid w:val="0041202A"/>
    <w:rsid w:val="00432985"/>
    <w:rsid w:val="00447EE6"/>
    <w:rsid w:val="004974D7"/>
    <w:rsid w:val="004B1735"/>
    <w:rsid w:val="00551373"/>
    <w:rsid w:val="005B430F"/>
    <w:rsid w:val="005E1577"/>
    <w:rsid w:val="00636568"/>
    <w:rsid w:val="00645112"/>
    <w:rsid w:val="00653F76"/>
    <w:rsid w:val="00674337"/>
    <w:rsid w:val="006A2047"/>
    <w:rsid w:val="006B0CA2"/>
    <w:rsid w:val="006F31AB"/>
    <w:rsid w:val="006F6877"/>
    <w:rsid w:val="007270BA"/>
    <w:rsid w:val="00777194"/>
    <w:rsid w:val="00777DA0"/>
    <w:rsid w:val="007D2CA5"/>
    <w:rsid w:val="008D7961"/>
    <w:rsid w:val="00906BF3"/>
    <w:rsid w:val="009B1368"/>
    <w:rsid w:val="009B6806"/>
    <w:rsid w:val="009E1CD1"/>
    <w:rsid w:val="00B04D32"/>
    <w:rsid w:val="00B8445E"/>
    <w:rsid w:val="00B95755"/>
    <w:rsid w:val="00B95DB6"/>
    <w:rsid w:val="00BA38CA"/>
    <w:rsid w:val="00BE0D84"/>
    <w:rsid w:val="00C2244A"/>
    <w:rsid w:val="00C504B7"/>
    <w:rsid w:val="00C57F4C"/>
    <w:rsid w:val="00C85420"/>
    <w:rsid w:val="00CB5D6C"/>
    <w:rsid w:val="00CE71C7"/>
    <w:rsid w:val="00D064A0"/>
    <w:rsid w:val="00D271D9"/>
    <w:rsid w:val="00D36316"/>
    <w:rsid w:val="00D8641D"/>
    <w:rsid w:val="00DC1607"/>
    <w:rsid w:val="00E7165A"/>
    <w:rsid w:val="00E73DC1"/>
    <w:rsid w:val="00E96AC0"/>
    <w:rsid w:val="00EF4BC4"/>
    <w:rsid w:val="00F005DD"/>
    <w:rsid w:val="00F256D9"/>
    <w:rsid w:val="00F33DBE"/>
    <w:rsid w:val="00F3478C"/>
    <w:rsid w:val="00FA3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5213"/>
  <w15:chartTrackingRefBased/>
  <w15:docId w15:val="{0C77FA26-DB47-428A-8DF6-A0F51F2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C7"/>
    <w:pPr>
      <w:spacing w:after="0" w:line="240" w:lineRule="auto"/>
      <w:jc w:val="both"/>
    </w:pPr>
    <w:rPr>
      <w:rFonts w:ascii="Times New Roman" w:hAnsi="Times New Roman"/>
      <w:sz w:val="24"/>
    </w:rPr>
  </w:style>
  <w:style w:type="paragraph" w:styleId="Ttulo2">
    <w:name w:val="heading 2"/>
    <w:basedOn w:val="Normal"/>
    <w:next w:val="Normal"/>
    <w:link w:val="Ttulo2Char"/>
    <w:autoRedefine/>
    <w:uiPriority w:val="1"/>
    <w:qFormat/>
    <w:rsid w:val="00CE71C7"/>
    <w:pPr>
      <w:keepNext/>
      <w:spacing w:before="480" w:after="480"/>
      <w:ind w:left="284"/>
      <w:jc w:val="center"/>
      <w:outlineLvl w:val="1"/>
    </w:pPr>
    <w:rPr>
      <w:rFonts w:eastAsia="Times New Roman" w:cs="Times New Roman"/>
      <w:b/>
      <w:bCs/>
      <w:sz w:val="28"/>
      <w:szCs w:val="24"/>
      <w:lang w:eastAsia="pt-BR"/>
    </w:rPr>
  </w:style>
  <w:style w:type="paragraph" w:styleId="Ttulo3">
    <w:name w:val="heading 3"/>
    <w:basedOn w:val="Normal"/>
    <w:next w:val="Normal"/>
    <w:link w:val="Ttulo3Char"/>
    <w:autoRedefine/>
    <w:uiPriority w:val="9"/>
    <w:qFormat/>
    <w:rsid w:val="00FA3B1E"/>
    <w:pPr>
      <w:keepNext/>
      <w:shd w:val="clear" w:color="auto" w:fill="FFFFFF"/>
      <w:spacing w:before="480" w:after="480" w:line="360" w:lineRule="auto"/>
      <w:ind w:left="720" w:hanging="720"/>
      <w:jc w:val="left"/>
      <w:outlineLvl w:val="2"/>
    </w:pPr>
    <w:rPr>
      <w:rFonts w:eastAsia="Calibri" w:cs="Times New Roman"/>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CE71C7"/>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uiPriority w:val="9"/>
    <w:rsid w:val="00FA3B1E"/>
    <w:rPr>
      <w:rFonts w:ascii="Times New Roman" w:eastAsia="Calibri" w:hAnsi="Times New Roman" w:cs="Times New Roman"/>
      <w:b/>
      <w:bCs/>
      <w:sz w:val="24"/>
      <w:szCs w:val="24"/>
      <w:shd w:val="clear" w:color="auto" w:fill="FFFFFF"/>
      <w:lang w:eastAsia="pt-BR"/>
    </w:rPr>
  </w:style>
  <w:style w:type="paragraph" w:styleId="PargrafodaLista">
    <w:name w:val="List Paragraph"/>
    <w:basedOn w:val="Normal"/>
    <w:qFormat/>
    <w:rsid w:val="00CE71C7"/>
    <w:pPr>
      <w:spacing w:before="480" w:after="480" w:line="360" w:lineRule="auto"/>
      <w:ind w:firstLine="851"/>
      <w:contextualSpacing/>
    </w:pPr>
  </w:style>
  <w:style w:type="paragraph" w:styleId="Textodenotaderodap">
    <w:name w:val="footnote text"/>
    <w:basedOn w:val="Normal"/>
    <w:link w:val="TextodenotaderodapChar"/>
    <w:uiPriority w:val="99"/>
    <w:rsid w:val="00CE71C7"/>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CE71C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CE71C7"/>
    <w:rPr>
      <w:vertAlign w:val="superscript"/>
    </w:rPr>
  </w:style>
  <w:style w:type="paragraph" w:customStyle="1" w:styleId="Fonte">
    <w:name w:val="Fonte"/>
    <w:basedOn w:val="Normal"/>
    <w:link w:val="FonteChar"/>
    <w:qFormat/>
    <w:rsid w:val="00CE71C7"/>
    <w:pPr>
      <w:widowControl w:val="0"/>
      <w:tabs>
        <w:tab w:val="left" w:pos="6971"/>
      </w:tabs>
      <w:autoSpaceDE w:val="0"/>
      <w:autoSpaceDN w:val="0"/>
      <w:adjustRightInd w:val="0"/>
      <w:spacing w:after="480"/>
      <w:contextualSpacing/>
    </w:pPr>
    <w:rPr>
      <w:sz w:val="20"/>
      <w:szCs w:val="20"/>
    </w:rPr>
  </w:style>
  <w:style w:type="character" w:customStyle="1" w:styleId="FonteChar">
    <w:name w:val="Fonte Char"/>
    <w:basedOn w:val="Fontepargpadro"/>
    <w:link w:val="Fonte"/>
    <w:rsid w:val="00CE71C7"/>
    <w:rPr>
      <w:rFonts w:ascii="Times New Roman" w:hAnsi="Times New Roman"/>
      <w:sz w:val="20"/>
      <w:szCs w:val="20"/>
    </w:rPr>
  </w:style>
  <w:style w:type="paragraph" w:styleId="Legenda">
    <w:name w:val="caption"/>
    <w:basedOn w:val="Normal"/>
    <w:next w:val="Normal"/>
    <w:uiPriority w:val="35"/>
    <w:unhideWhenUsed/>
    <w:qFormat/>
    <w:rsid w:val="00CE71C7"/>
    <w:pPr>
      <w:keepNext/>
      <w:spacing w:before="480" w:after="120"/>
      <w:contextualSpacing/>
      <w:jc w:val="center"/>
    </w:pPr>
    <w:rPr>
      <w:b/>
      <w:iCs/>
      <w:color w:val="000000" w:themeColor="text1"/>
      <w:sz w:val="20"/>
      <w:szCs w:val="18"/>
    </w:rPr>
  </w:style>
  <w:style w:type="paragraph" w:styleId="Citao">
    <w:name w:val="Quote"/>
    <w:basedOn w:val="Normal"/>
    <w:next w:val="Normal"/>
    <w:link w:val="CitaoChar"/>
    <w:uiPriority w:val="1"/>
    <w:qFormat/>
    <w:rsid w:val="003C2EEA"/>
    <w:pPr>
      <w:spacing w:before="480" w:after="480"/>
      <w:ind w:left="2268"/>
      <w:contextualSpacing/>
    </w:pPr>
    <w:rPr>
      <w:iCs/>
      <w:sz w:val="20"/>
    </w:rPr>
  </w:style>
  <w:style w:type="character" w:customStyle="1" w:styleId="CitaoChar">
    <w:name w:val="Citação Char"/>
    <w:basedOn w:val="Fontepargpadro"/>
    <w:link w:val="Citao"/>
    <w:uiPriority w:val="1"/>
    <w:rsid w:val="003C2EEA"/>
    <w:rPr>
      <w:rFonts w:ascii="Times New Roman" w:hAnsi="Times New Roman"/>
      <w:iCs/>
      <w:sz w:val="20"/>
    </w:rPr>
  </w:style>
  <w:style w:type="character" w:styleId="Refdecomentrio">
    <w:name w:val="annotation reference"/>
    <w:basedOn w:val="Fontepargpadro"/>
    <w:uiPriority w:val="99"/>
    <w:semiHidden/>
    <w:unhideWhenUsed/>
    <w:rsid w:val="003B34BF"/>
    <w:rPr>
      <w:sz w:val="16"/>
      <w:szCs w:val="16"/>
    </w:rPr>
  </w:style>
  <w:style w:type="paragraph" w:styleId="Textodecomentrio">
    <w:name w:val="annotation text"/>
    <w:basedOn w:val="Normal"/>
    <w:link w:val="TextodecomentrioChar"/>
    <w:uiPriority w:val="99"/>
    <w:semiHidden/>
    <w:unhideWhenUsed/>
    <w:rsid w:val="003B34BF"/>
    <w:rPr>
      <w:sz w:val="20"/>
      <w:szCs w:val="20"/>
    </w:rPr>
  </w:style>
  <w:style w:type="character" w:customStyle="1" w:styleId="TextodecomentrioChar">
    <w:name w:val="Texto de comentário Char"/>
    <w:basedOn w:val="Fontepargpadro"/>
    <w:link w:val="Textodecomentrio"/>
    <w:uiPriority w:val="99"/>
    <w:semiHidden/>
    <w:rsid w:val="003B34B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B34BF"/>
    <w:rPr>
      <w:b/>
      <w:bCs/>
    </w:rPr>
  </w:style>
  <w:style w:type="character" w:customStyle="1" w:styleId="AssuntodocomentrioChar">
    <w:name w:val="Assunto do comentário Char"/>
    <w:basedOn w:val="TextodecomentrioChar"/>
    <w:link w:val="Assuntodocomentrio"/>
    <w:uiPriority w:val="99"/>
    <w:semiHidden/>
    <w:rsid w:val="003B34BF"/>
    <w:rPr>
      <w:rFonts w:ascii="Times New Roman" w:hAnsi="Times New Roman"/>
      <w:b/>
      <w:bCs/>
      <w:sz w:val="20"/>
      <w:szCs w:val="20"/>
    </w:rPr>
  </w:style>
  <w:style w:type="paragraph" w:styleId="Textodebalo">
    <w:name w:val="Balloon Text"/>
    <w:basedOn w:val="Normal"/>
    <w:link w:val="TextodebaloChar"/>
    <w:uiPriority w:val="99"/>
    <w:semiHidden/>
    <w:unhideWhenUsed/>
    <w:rsid w:val="003B34BF"/>
    <w:rPr>
      <w:rFonts w:ascii="Segoe UI" w:hAnsi="Segoe UI" w:cs="Segoe UI"/>
      <w:sz w:val="18"/>
      <w:szCs w:val="18"/>
    </w:rPr>
  </w:style>
  <w:style w:type="character" w:customStyle="1" w:styleId="TextodebaloChar">
    <w:name w:val="Texto de balão Char"/>
    <w:basedOn w:val="Fontepargpadro"/>
    <w:link w:val="Textodebalo"/>
    <w:uiPriority w:val="99"/>
    <w:semiHidden/>
    <w:rsid w:val="003B3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Controle_(administra%C3%A7%C3%A3o)" TargetMode="External"/><Relationship Id="rId7" Type="http://schemas.openxmlformats.org/officeDocument/2006/relationships/hyperlink" Target="https://pt.wikipedia.org/wiki/Mandato" TargetMode="External"/><Relationship Id="rId2" Type="http://schemas.openxmlformats.org/officeDocument/2006/relationships/hyperlink" Target="https://pt.wikipedia.org/wiki/Lei_brasileira" TargetMode="External"/><Relationship Id="rId1" Type="http://schemas.openxmlformats.org/officeDocument/2006/relationships/hyperlink" Target="https://pt.wikipedia.org/wiki/Lei_Complementar" TargetMode="External"/><Relationship Id="rId6" Type="http://schemas.openxmlformats.org/officeDocument/2006/relationships/hyperlink" Target="https://pt.wikipedia.org/wiki/Tributos" TargetMode="External"/><Relationship Id="rId5" Type="http://schemas.openxmlformats.org/officeDocument/2006/relationships/hyperlink" Target="https://pt.wikipedia.org/wiki/Munic%C3%ADpio" TargetMode="External"/><Relationship Id="rId4" Type="http://schemas.openxmlformats.org/officeDocument/2006/relationships/hyperlink" Target="https://pt.wikipedia.org/wiki/Est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4115</Words>
  <Characters>22227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2</cp:revision>
  <dcterms:created xsi:type="dcterms:W3CDTF">2017-10-31T01:49:00Z</dcterms:created>
  <dcterms:modified xsi:type="dcterms:W3CDTF">2017-10-31T01:49:00Z</dcterms:modified>
</cp:coreProperties>
</file>